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F55A" w14:textId="2FC94A7B" w:rsidR="00A02CE5" w:rsidRPr="00F52AFA" w:rsidRDefault="001B56F8" w:rsidP="00941AF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ДОГОВОР ОБ ОКАЗАНИИ</w:t>
      </w:r>
      <w:r w:rsidR="00483C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УСЛУГ</w:t>
      </w:r>
      <w:r w:rsidR="00483C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КОНСУЛЬТАНТА ПО РАЗВИТИЮ ОБЩЕСТВА И ЕГО ПРОДУКТОВ</w:t>
      </w:r>
      <w:r w:rsidR="00F52A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F52AFA" w:rsidRPr="00F52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(«</w:t>
      </w:r>
      <w:r w:rsidR="00F52AFA" w:rsidRPr="00F52A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УКРОП</w:t>
      </w:r>
      <w:r w:rsidR="00F52AFA" w:rsidRPr="00F52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»)</w:t>
      </w:r>
    </w:p>
    <w:tbl>
      <w:tblPr>
        <w:tblStyle w:val="a9"/>
        <w:tblW w:w="0" w:type="auto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34"/>
        <w:gridCol w:w="4614"/>
      </w:tblGrid>
      <w:tr w:rsidR="00AB60B0" w:rsidRPr="008A5E69" w14:paraId="58B9FA70" w14:textId="77777777" w:rsidTr="00AB60B0">
        <w:tc>
          <w:tcPr>
            <w:tcW w:w="9048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DBFF8D6" w14:textId="77777777" w:rsidR="00AB60B0" w:rsidRPr="000C6640" w:rsidRDefault="00AB60B0" w:rsidP="00705357">
            <w:pPr>
              <w:pStyle w:val="af8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sz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AB60B0" w:rsidRPr="008A5E69" w14:paraId="420C7CD9" w14:textId="77777777" w:rsidTr="00AB60B0">
        <w:tc>
          <w:tcPr>
            <w:tcW w:w="4434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1C98C93" w14:textId="0B75B730" w:rsidR="00AB60B0" w:rsidRPr="000C6640" w:rsidRDefault="00AA6B96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Консультант оказывает услуги в обмен на миноритарную долю в </w:t>
            </w:r>
            <w:r w:rsidR="00D10E30">
              <w:rPr>
                <w:rFonts w:ascii="Arial" w:hAnsi="Arial" w:cs="Arial"/>
                <w:sz w:val="20"/>
                <w:lang w:val="ru-RU"/>
              </w:rPr>
              <w:t xml:space="preserve">уставном капитале </w:t>
            </w:r>
            <w:r>
              <w:rPr>
                <w:rFonts w:ascii="Arial" w:hAnsi="Arial" w:cs="Arial"/>
                <w:sz w:val="20"/>
                <w:lang w:val="ru-RU"/>
              </w:rPr>
              <w:t>Обществ</w:t>
            </w:r>
            <w:r w:rsidR="00D10E30">
              <w:rPr>
                <w:rFonts w:ascii="Arial" w:hAnsi="Arial" w:cs="Arial"/>
                <w:sz w:val="20"/>
                <w:lang w:val="ru-RU"/>
              </w:rPr>
              <w:t>а</w:t>
            </w:r>
            <w:r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  <w:tc>
          <w:tcPr>
            <w:tcW w:w="461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C22E733" w14:textId="26603ADA" w:rsidR="00AB60B0" w:rsidRPr="000C6640" w:rsidRDefault="00AB60B0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0C6640">
              <w:rPr>
                <w:rFonts w:ascii="Arial" w:hAnsi="Arial" w:cs="Arial"/>
                <w:sz w:val="20"/>
                <w:lang w:val="ru-RU"/>
              </w:rPr>
              <w:t xml:space="preserve">Срок </w:t>
            </w:r>
            <w:r>
              <w:rPr>
                <w:rFonts w:ascii="Arial" w:hAnsi="Arial" w:cs="Arial"/>
                <w:sz w:val="20"/>
                <w:lang w:val="ru-RU"/>
              </w:rPr>
              <w:t>оказания услуг</w:t>
            </w:r>
            <w:r w:rsidR="00AA6B96">
              <w:rPr>
                <w:rFonts w:ascii="Arial" w:hAnsi="Arial" w:cs="Arial"/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t xml:space="preserve">– 2 года </w:t>
            </w:r>
            <w:r w:rsidRPr="000C6640">
              <w:rPr>
                <w:rFonts w:ascii="Arial" w:hAnsi="Arial" w:cs="Arial"/>
                <w:sz w:val="20"/>
                <w:lang w:val="ru-RU"/>
              </w:rPr>
              <w:t>(п.</w:t>
            </w:r>
            <w:r w:rsidR="00AA6B96">
              <w:rPr>
                <w:rFonts w:ascii="Arial" w:hAnsi="Arial" w:cs="Arial"/>
                <w:sz w:val="20"/>
                <w:lang w:val="ru-RU"/>
              </w:rPr>
              <w:t xml:space="preserve"> </w:t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begin"/>
            </w:r>
            <w:r w:rsidR="00AA6B96">
              <w:rPr>
                <w:rFonts w:ascii="Arial" w:hAnsi="Arial" w:cs="Arial"/>
                <w:sz w:val="20"/>
                <w:lang w:val="ru-RU"/>
              </w:rPr>
              <w:instrText xml:space="preserve"> REF _Ref46067796 \r \h </w:instrText>
            </w:r>
            <w:r w:rsidR="00AA6B96">
              <w:rPr>
                <w:rFonts w:ascii="Arial" w:hAnsi="Arial" w:cs="Arial"/>
                <w:sz w:val="20"/>
                <w:lang w:val="ru-RU"/>
              </w:rPr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11</w:t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end"/>
            </w:r>
            <w:r w:rsidR="00AA6B96">
              <w:rPr>
                <w:rFonts w:ascii="Arial" w:hAnsi="Arial" w:cs="Arial"/>
                <w:sz w:val="20"/>
                <w:lang w:val="ru-RU"/>
              </w:rPr>
              <w:t>)</w:t>
            </w:r>
            <w:r w:rsidRPr="000C6640">
              <w:rPr>
                <w:rFonts w:ascii="Arial" w:hAnsi="Arial" w:cs="Arial"/>
                <w:sz w:val="20"/>
                <w:lang w:val="ru-RU"/>
              </w:rPr>
              <w:t>.</w:t>
            </w:r>
            <w:r w:rsidR="00AA6B96">
              <w:rPr>
                <w:rFonts w:ascii="Arial" w:hAnsi="Arial" w:cs="Arial"/>
                <w:sz w:val="20"/>
                <w:lang w:val="ru-RU"/>
              </w:rPr>
              <w:t xml:space="preserve"> Объем вовлеченности предусмотрен в Приложении 1</w:t>
            </w:r>
            <w:r w:rsidR="006A0CDE">
              <w:rPr>
                <w:rFonts w:ascii="Arial" w:hAnsi="Arial" w:cs="Arial"/>
                <w:sz w:val="20"/>
                <w:lang w:val="ru-RU"/>
              </w:rPr>
              <w:t>, где необходимо выбрать один из предложенных вариантов</w:t>
            </w:r>
            <w:r w:rsidR="00AA6B96"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</w:tr>
      <w:tr w:rsidR="00AB60B0" w:rsidRPr="00476331" w14:paraId="6CB82F3A" w14:textId="77777777" w:rsidTr="00AB60B0">
        <w:tc>
          <w:tcPr>
            <w:tcW w:w="4434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41E6B31" w14:textId="3DD2B430" w:rsidR="00AB60B0" w:rsidRPr="000C6640" w:rsidRDefault="00AA6B96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Консультант получает долю в Обществе сразу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_Ref46067937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5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 xml:space="preserve">), но Основатели могут </w:t>
            </w:r>
            <w:r w:rsidR="000E01AE">
              <w:rPr>
                <w:rFonts w:ascii="Arial" w:hAnsi="Arial" w:cs="Arial"/>
                <w:sz w:val="20"/>
                <w:lang w:val="ru-RU"/>
              </w:rPr>
              <w:t xml:space="preserve">ее </w:t>
            </w:r>
            <w:r>
              <w:rPr>
                <w:rFonts w:ascii="Arial" w:hAnsi="Arial" w:cs="Arial"/>
                <w:sz w:val="20"/>
                <w:lang w:val="ru-RU"/>
              </w:rPr>
              <w:t>выкупить через</w:t>
            </w:r>
            <w:r w:rsidR="00D10E30">
              <w:rPr>
                <w:rFonts w:ascii="Arial" w:hAnsi="Arial" w:cs="Arial"/>
                <w:sz w:val="20"/>
                <w:lang w:val="ru-RU"/>
              </w:rPr>
              <w:t xml:space="preserve"> механизм</w:t>
            </w:r>
            <w:r>
              <w:rPr>
                <w:rFonts w:ascii="Arial" w:hAnsi="Arial" w:cs="Arial"/>
                <w:sz w:val="20"/>
                <w:lang w:val="ru-RU"/>
              </w:rPr>
              <w:t xml:space="preserve"> Колл-опцион</w:t>
            </w:r>
            <w:r w:rsidR="00D10E30">
              <w:rPr>
                <w:rFonts w:ascii="Arial" w:hAnsi="Arial" w:cs="Arial"/>
                <w:sz w:val="20"/>
                <w:lang w:val="ru-RU"/>
              </w:rPr>
              <w:t>а</w:t>
            </w:r>
            <w:r>
              <w:rPr>
                <w:rFonts w:ascii="Arial" w:hAnsi="Arial" w:cs="Arial"/>
                <w:sz w:val="20"/>
                <w:lang w:val="ru-RU"/>
              </w:rPr>
              <w:t xml:space="preserve">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_Ref46066497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9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 по номинальной цене.</w:t>
            </w:r>
          </w:p>
        </w:tc>
        <w:tc>
          <w:tcPr>
            <w:tcW w:w="461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E033940" w14:textId="50C8606C" w:rsidR="00AB60B0" w:rsidRPr="000C6640" w:rsidRDefault="00AA6B96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Консультант передает исключительные права на объекты интеллектуальной собственности, созданные в интересах Общества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_Ref46068039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</w:t>
            </w:r>
            <w:r w:rsidR="00AB60B0" w:rsidRPr="000C6640"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</w:tr>
      <w:tr w:rsidR="006A0CDE" w:rsidRPr="00476331" w14:paraId="10ECCF27" w14:textId="77777777" w:rsidTr="00AB60B0">
        <w:tc>
          <w:tcPr>
            <w:tcW w:w="4434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6475744" w14:textId="40EBA6A7" w:rsidR="006A0CDE" w:rsidRDefault="006A0CDE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Консультант может отказаться от Договора и потребовать выплаты вознаграждения в исключительных случаях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_Ref45276816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8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  <w:tc>
          <w:tcPr>
            <w:tcW w:w="461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69EBAA2F" w14:textId="61463EF6" w:rsidR="006A0CDE" w:rsidRDefault="00663863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Одновременно с выделением Консультанту доли Стороны должны подписать корпоративный договор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_Ref46068859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</w:tr>
      <w:tr w:rsidR="00AB60B0" w:rsidRPr="000C6640" w14:paraId="5EDB2ADC" w14:textId="77777777" w:rsidTr="00AB60B0">
        <w:tc>
          <w:tcPr>
            <w:tcW w:w="4434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0F8C23F" w14:textId="5CF2B823" w:rsidR="00AB60B0" w:rsidRPr="000C6640" w:rsidRDefault="00AB60B0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0C6640">
              <w:rPr>
                <w:rFonts w:ascii="Arial" w:hAnsi="Arial" w:cs="Arial"/>
                <w:sz w:val="20"/>
                <w:lang w:val="ru-RU"/>
              </w:rPr>
              <w:t>Применяется право Российской Федерации (п.</w:t>
            </w:r>
            <w:r w:rsidR="00AA6B96">
              <w:rPr>
                <w:rFonts w:ascii="Arial" w:hAnsi="Arial" w:cs="Arial"/>
                <w:sz w:val="20"/>
                <w:lang w:val="ru-RU"/>
              </w:rPr>
              <w:t xml:space="preserve"> </w:t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begin"/>
            </w:r>
            <w:r w:rsidR="00AA6B96">
              <w:rPr>
                <w:rFonts w:ascii="Arial" w:hAnsi="Arial" w:cs="Arial"/>
                <w:sz w:val="20"/>
                <w:lang w:val="ru-RU"/>
              </w:rPr>
              <w:instrText xml:space="preserve"> REF _Ref46067980 \r \h </w:instrText>
            </w:r>
            <w:r w:rsidR="00AA6B96">
              <w:rPr>
                <w:rFonts w:ascii="Arial" w:hAnsi="Arial" w:cs="Arial"/>
                <w:sz w:val="20"/>
                <w:lang w:val="ru-RU"/>
              </w:rPr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352D74">
              <w:rPr>
                <w:rFonts w:ascii="Arial" w:hAnsi="Arial" w:cs="Arial"/>
                <w:sz w:val="20"/>
                <w:lang w:val="ru-RU"/>
              </w:rPr>
              <w:t>17</w:t>
            </w:r>
            <w:r w:rsidR="00AA6B96">
              <w:rPr>
                <w:rFonts w:ascii="Arial" w:hAnsi="Arial" w:cs="Arial"/>
                <w:sz w:val="20"/>
                <w:lang w:val="ru-RU"/>
              </w:rPr>
              <w:fldChar w:fldCharType="end"/>
            </w:r>
            <w:r w:rsidRPr="000C6640"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  <w:tc>
          <w:tcPr>
            <w:tcW w:w="461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240E699" w14:textId="79280A05" w:rsidR="00AB60B0" w:rsidRPr="000C6640" w:rsidRDefault="002E5434" w:rsidP="00AB60B0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2E5434">
              <w:rPr>
                <w:rFonts w:ascii="Arial" w:hAnsi="Arial" w:cs="Arial"/>
                <w:sz w:val="20"/>
                <w:lang w:val="ru-RU"/>
              </w:rPr>
              <w:t xml:space="preserve">В связи с поправками </w:t>
            </w:r>
            <w:hyperlink r:id="rId8" w:history="1">
              <w:r w:rsidRPr="002E5434">
                <w:rPr>
                  <w:rStyle w:val="af6"/>
                  <w:rFonts w:ascii="Arial" w:hAnsi="Arial" w:cs="Arial"/>
                  <w:sz w:val="20"/>
                  <w:lang w:val="ru-RU"/>
                </w:rPr>
                <w:t>о договоре конвертируемого займа</w:t>
              </w:r>
            </w:hyperlink>
            <w:r w:rsidRPr="002E5434">
              <w:rPr>
                <w:rFonts w:ascii="Arial" w:hAnsi="Arial" w:cs="Arial"/>
                <w:sz w:val="20"/>
                <w:lang w:val="ru-RU"/>
              </w:rPr>
              <w:t xml:space="preserve"> УКРОП рекомендуется удостоверять нотариально. Это связано с тем, что в обоих договорах имеется право стороны конвертировать свое требование к обществу в доли такого общества</w:t>
            </w:r>
            <w:r w:rsidR="00AB60B0" w:rsidRPr="000C6640"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</w:tr>
      <w:tr w:rsidR="00290EB2" w:rsidRPr="000C6640" w14:paraId="13153D28" w14:textId="77777777" w:rsidTr="00864009">
        <w:tc>
          <w:tcPr>
            <w:tcW w:w="9048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B804649" w14:textId="238C5423" w:rsidR="00290EB2" w:rsidRPr="002E5434" w:rsidRDefault="00290EB2" w:rsidP="00290EB2">
            <w:pPr>
              <w:pStyle w:val="af8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0C6640">
              <w:rPr>
                <w:rFonts w:ascii="Arial" w:hAnsi="Arial" w:cs="Arial"/>
                <w:sz w:val="20"/>
                <w:lang w:val="ru-RU"/>
              </w:rPr>
              <w:t xml:space="preserve">На нашем сайте вы можете скачать пакет базовых документов для юридической упаковки стартапа: </w:t>
            </w:r>
            <w:hyperlink r:id="rId9" w:history="1">
              <w:r w:rsidRPr="000C6640">
                <w:rPr>
                  <w:rStyle w:val="af6"/>
                  <w:rFonts w:ascii="Arial" w:hAnsi="Arial" w:cs="Arial"/>
                  <w:sz w:val="20"/>
                  <w:lang w:val="ru-RU"/>
                </w:rPr>
                <w:t>https://www.buzko.legal/digital/yuridicheskie-dokumenty-dlya-startapa</w:t>
              </w:r>
            </w:hyperlink>
          </w:p>
        </w:tc>
      </w:tr>
      <w:tr w:rsidR="00AB60B0" w:rsidRPr="008A5E69" w14:paraId="697468C6" w14:textId="77777777" w:rsidTr="00AB60B0">
        <w:tc>
          <w:tcPr>
            <w:tcW w:w="9048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9082B5E" w14:textId="143ECA0C" w:rsidR="00AB60B0" w:rsidRPr="00A41E53" w:rsidRDefault="005717B5" w:rsidP="00A41E53">
            <w:pPr>
              <w:spacing w:before="120" w:after="120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hyperlink r:id="rId10" w:history="1">
              <w:r w:rsidR="00A41E53">
                <w:rPr>
                  <w:rStyle w:val="af6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24B6549D" w14:textId="1B2D9EA2" w:rsidR="00A02CE5" w:rsidRDefault="00DA7438" w:rsidP="00941AFA">
      <w:pPr>
        <w:spacing w:before="20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Настоящий Договор 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оказании услуг консультанта по развитию общества и его продуктов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«</w:t>
      </w:r>
      <w:r w:rsidR="001B56F8" w:rsidRPr="001B5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УКРОП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заключен на дату последней подписи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«Дата заключения</w:t>
      </w:r>
      <w:r w:rsidR="001B56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 между:</w:t>
      </w:r>
    </w:p>
    <w:p w14:paraId="01D8D97D" w14:textId="46403769" w:rsidR="00A02CE5" w:rsidRDefault="00DA7438" w:rsidP="00941AFA">
      <w:pPr>
        <w:numPr>
          <w:ilvl w:val="0"/>
          <w:numId w:val="2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Реквизиты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»);</w:t>
      </w:r>
    </w:p>
    <w:p w14:paraId="3BA45C41" w14:textId="23FF3923" w:rsidR="001B56F8" w:rsidRDefault="001B56F8" w:rsidP="00941AFA">
      <w:pPr>
        <w:numPr>
          <w:ilvl w:val="0"/>
          <w:numId w:val="2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Реквизиты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»);</w:t>
      </w:r>
    </w:p>
    <w:p w14:paraId="771C4AB4" w14:textId="6870A69A" w:rsidR="00A02CE5" w:rsidRDefault="00DA7438" w:rsidP="00941AFA">
      <w:pPr>
        <w:numPr>
          <w:ilvl w:val="0"/>
          <w:numId w:val="2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Реквизиты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Основатель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»); 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136AC160" w14:textId="4BE9EE88" w:rsidR="00A02CE5" w:rsidRDefault="00DA7438" w:rsidP="00941AFA">
      <w:pPr>
        <w:numPr>
          <w:ilvl w:val="0"/>
          <w:numId w:val="2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Реквизиты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Основатель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»);</w:t>
      </w:r>
    </w:p>
    <w:p w14:paraId="066FE1C9" w14:textId="77777777" w:rsidR="00A02CE5" w:rsidRDefault="00DA7438" w:rsidP="00941A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совместно именуемые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а каждый в отдельности —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0D359B0A" w14:textId="77777777" w:rsidR="00A02CE5" w:rsidRDefault="00DA7438" w:rsidP="00941A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ПРЕАМБУЛА:</w:t>
      </w:r>
    </w:p>
    <w:p w14:paraId="22A8BBEA" w14:textId="575771F9" w:rsidR="00A02CE5" w:rsidRDefault="00DA7438" w:rsidP="00947B46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 является 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экспертом в определенной области. Общество заинтересовано в привлечени</w:t>
      </w:r>
      <w:r w:rsidR="00857AF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Консультанта для оказания консультационных услуг в обмен на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предоставление </w:t>
      </w:r>
      <w:r w:rsidR="00723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Консультанту 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доли в уставном капитале Общества.</w:t>
      </w:r>
    </w:p>
    <w:p w14:paraId="3E3DC5EB" w14:textId="00428E74" w:rsidR="00A02CE5" w:rsidRDefault="00DA7438" w:rsidP="00947B46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Договор имеет смешанный характер, то есть содержит элементы различных договоров. В частности, Договор содержит элементы договора оказания услуг (ст. 779 ГК РФ)</w:t>
      </w:r>
      <w:r w:rsidR="00DB4A5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корпоративного договора (</w:t>
      </w:r>
      <w:r w:rsidR="00B16C49" w:rsidRPr="00B16C49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договора, к которому применяются правила о корпоративном договоре согласно п. 9</w:t>
      </w:r>
      <w:r w:rsidR="00B16C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 67.2 ГК РФ)</w:t>
      </w:r>
      <w:r w:rsidR="00D10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DB4A52">
        <w:rPr>
          <w:rFonts w:ascii="Times New Roman" w:eastAsia="Times New Roman" w:hAnsi="Times New Roman" w:cs="Times New Roman"/>
          <w:color w:val="000000"/>
          <w:sz w:val="24"/>
          <w:szCs w:val="24"/>
        </w:rPr>
        <w:t>опционного договора (ст. 429.3 ГК РФ)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DE8DE7" w14:textId="11D71A0F" w:rsidR="00A02CE5" w:rsidRPr="00941AFA" w:rsidRDefault="001B56F8" w:rsidP="00947B46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56F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Основатель 1 и Основатель 2 (совместно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1B5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Основатели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 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 w:rsidR="00E57AE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>тся 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в той части, в какой это </w:t>
      </w:r>
      <w:r w:rsidR="00DA7438" w:rsidRPr="00941AFA">
        <w:rPr>
          <w:rFonts w:ascii="Times New Roman" w:eastAsia="Times New Roman" w:hAnsi="Times New Roman" w:cs="Times New Roman"/>
          <w:sz w:val="24"/>
          <w:szCs w:val="24"/>
        </w:rPr>
        <w:t xml:space="preserve">необходимо для осуществления конвертации Задолженности, как этот термин определен ниже, в долю в уставном капитале </w:t>
      </w:r>
      <w:r w:rsidRPr="00941AFA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DA7438" w:rsidRPr="00941AFA">
        <w:rPr>
          <w:rFonts w:ascii="Times New Roman" w:eastAsia="Times New Roman" w:hAnsi="Times New Roman" w:cs="Times New Roman"/>
          <w:sz w:val="24"/>
          <w:szCs w:val="24"/>
        </w:rPr>
        <w:t>, где он</w:t>
      </w:r>
      <w:r w:rsidRPr="00941AFA">
        <w:rPr>
          <w:rFonts w:ascii="Times New Roman" w:eastAsia="Times New Roman" w:hAnsi="Times New Roman" w:cs="Times New Roman"/>
          <w:sz w:val="24"/>
          <w:szCs w:val="24"/>
        </w:rPr>
        <w:t>и совместно</w:t>
      </w:r>
      <w:r w:rsidR="00DA7438" w:rsidRPr="00941AFA">
        <w:rPr>
          <w:rFonts w:ascii="Times New Roman" w:eastAsia="Times New Roman" w:hAnsi="Times New Roman" w:cs="Times New Roman"/>
          <w:sz w:val="24"/>
          <w:szCs w:val="24"/>
        </w:rPr>
        <w:t xml:space="preserve"> владе</w:t>
      </w:r>
      <w:r w:rsidR="00857AF6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A7438" w:rsidRPr="00941AFA">
        <w:rPr>
          <w:rFonts w:ascii="Times New Roman" w:eastAsia="Times New Roman" w:hAnsi="Times New Roman" w:cs="Times New Roman"/>
          <w:sz w:val="24"/>
          <w:szCs w:val="24"/>
        </w:rPr>
        <w:t>т долей в размере 100% уставного капитала на Дату заключения Договора.</w:t>
      </w:r>
    </w:p>
    <w:p w14:paraId="0EF6C657" w14:textId="7AF51064" w:rsidR="00A02CE5" w:rsidRDefault="001B56F8" w:rsidP="00947B46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Стороной Договора во всех отношениях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с Обществом, так и с Основателями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как кредитор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Общества </w:t>
      </w:r>
      <w:r w:rsidR="00DA7438">
        <w:rPr>
          <w:rFonts w:ascii="Times New Roman" w:eastAsia="Times New Roman" w:hAnsi="Times New Roman" w:cs="Times New Roman"/>
          <w:color w:val="000000"/>
          <w:sz w:val="24"/>
          <w:szCs w:val="24"/>
        </w:rPr>
        <w:t>в значении п. 9 ст. 67.2 ГК РФ в целях обеспечения своего законного интереса, и вправе ссылаться на все положения настоящего Договора. </w:t>
      </w:r>
    </w:p>
    <w:p w14:paraId="2C23AEE7" w14:textId="77777777" w:rsidR="00A02CE5" w:rsidRDefault="00DA7438" w:rsidP="00941A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 ДОГОВОРИЛИСЬ О НИЖЕСЛЕДУЮЩЕМ:</w:t>
      </w:r>
    </w:p>
    <w:p w14:paraId="21DB5C38" w14:textId="5A5DEA0D" w:rsidR="00814938" w:rsidRDefault="00DA7438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Консультант обязуется ока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>зыват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Обществу консультационные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услуги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выступать ментором для сотрудников Общества в объеме и на условиях, предусмотренных в Приложении </w:t>
      </w:r>
      <w:r w:rsidR="00A32E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>, или иным образом оказывать Обществу содействие, о чем Стороны могут договориться отдельно (совместно «</w:t>
      </w:r>
      <w:r w:rsidR="00814938" w:rsidRPr="008149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Услуги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>»). За оказание Услуг Консультант имеет право на вознаграждени</w:t>
      </w:r>
      <w:r w:rsidR="00BE1EC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4938" w:rsidRPr="00C83AFA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размере и на условиях, предус</w:t>
      </w:r>
      <w:r w:rsidR="00814938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мотренных в Договоре.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В той части, в которой настоящий Договор содержит элементы корпоративного договора (договора, к которому применяются правила о корпоративном договоре согласно п. 9 ст. 67.2 ГК РФ), настоящий Договор определяет</w:t>
      </w:r>
      <w:r w:rsid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(i) порядок и условия осуществления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Основателями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своих корпоративных прав, связанных с участием в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иных действий по управлению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Обществом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, (</w:t>
      </w:r>
      <w:proofErr w:type="spellStart"/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proofErr w:type="spellEnd"/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порядок и условия приобретения и отчуждения Сторонами долей в уставном капитале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Общества</w:t>
      </w:r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, (</w:t>
      </w:r>
      <w:proofErr w:type="spellStart"/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proofErr w:type="spellEnd"/>
      <w:r w:rsidR="002F3324" w:rsidRP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порядок согласованного осуществления иных действий по управлению </w:t>
      </w:r>
      <w:r w:rsidR="002F332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Обществом.</w:t>
      </w:r>
      <w:r w:rsidR="008559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той части, в которой настоящий Договор содержит элементы опционного договора, </w:t>
      </w:r>
      <w:r w:rsid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="008559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описан в пункте </w:t>
      </w:r>
      <w:r w:rsidR="0016360E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16360E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_Ref46066497 \r \h </w:instrText>
      </w:r>
      <w:r w:rsidR="0016360E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16360E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16360E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8559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Договора.</w:t>
      </w:r>
    </w:p>
    <w:p w14:paraId="2ED6D162" w14:textId="773C8F4E" w:rsidR="00E55F13" w:rsidRPr="0068602A" w:rsidRDefault="005D5FB0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Объем Услуг</w:t>
      </w:r>
      <w:r w:rsidRPr="005D5F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Консультант обязуется оказывать услуги в объеме, соответствующем уровню его вовлеченност</w:t>
      </w:r>
      <w:r w:rsidR="00A32E1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как </w:t>
      </w:r>
      <w:r w:rsidR="00086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предусмотрено в </w:t>
      </w:r>
      <w:r w:rsidR="00086018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Приложении 1</w:t>
      </w:r>
      <w:r w:rsidR="003B5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3B55BB" w:rsidRPr="006860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необходимо отметить в таблице</w:t>
      </w:r>
      <w:r w:rsidR="003B55BB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086018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906DA13" w14:textId="78203255" w:rsidR="003B55BB" w:rsidRPr="0068602A" w:rsidRDefault="00086018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Ref45041129"/>
      <w:r w:rsidRPr="006860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Вознаграждение</w:t>
      </w:r>
      <w:r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C465AC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Вознаграждение </w:t>
      </w:r>
      <w:r w:rsidR="00941AFA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</w:t>
      </w:r>
      <w:r w:rsidR="00C465AC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41AFA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1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весь Срок Договора </w:t>
      </w:r>
      <w:r w:rsidR="00C465AC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следующий размер в </w:t>
      </w:r>
      <w:r w:rsidR="003B55BB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</w:t>
      </w:r>
      <w:r w:rsidR="00C465AC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 w:rsidR="003B55BB"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уровня его вовлеченности в деятельность Общества и стадии развития Общества:</w:t>
      </w:r>
      <w:bookmarkEnd w:id="1"/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2392"/>
        <w:gridCol w:w="2030"/>
        <w:gridCol w:w="2046"/>
        <w:gridCol w:w="2031"/>
      </w:tblGrid>
      <w:tr w:rsidR="003B55BB" w:rsidRPr="00941AFA" w14:paraId="44420E69" w14:textId="77777777" w:rsidTr="00947B46">
        <w:tc>
          <w:tcPr>
            <w:tcW w:w="2392" w:type="dxa"/>
            <w:vMerge w:val="restart"/>
            <w:vAlign w:val="center"/>
          </w:tcPr>
          <w:p w14:paraId="3F7C2DDF" w14:textId="7D607D9D" w:rsidR="003B55BB" w:rsidRPr="00AC50F0" w:rsidRDefault="003B55BB" w:rsidP="00AC50F0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Уровень вовлеченност</w:t>
            </w:r>
            <w:r w:rsidR="00AC50F0">
              <w:rPr>
                <w:rFonts w:ascii="Arial" w:eastAsia="Times New Roman" w:hAnsi="Arial" w:cs="Arial"/>
                <w:color w:val="000000"/>
              </w:rPr>
              <w:t>и</w:t>
            </w:r>
          </w:p>
        </w:tc>
        <w:tc>
          <w:tcPr>
            <w:tcW w:w="6107" w:type="dxa"/>
            <w:gridSpan w:val="3"/>
          </w:tcPr>
          <w:p w14:paraId="441A692F" w14:textId="718A8DE1" w:rsidR="003B55BB" w:rsidRPr="00941AFA" w:rsidRDefault="003B55BB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Стадия развития</w:t>
            </w:r>
          </w:p>
        </w:tc>
      </w:tr>
      <w:tr w:rsidR="003B55BB" w:rsidRPr="00941AFA" w14:paraId="2CCAA906" w14:textId="77777777" w:rsidTr="00947B46">
        <w:tc>
          <w:tcPr>
            <w:tcW w:w="2392" w:type="dxa"/>
            <w:vMerge/>
          </w:tcPr>
          <w:p w14:paraId="352F9FEC" w14:textId="77777777" w:rsidR="003B55BB" w:rsidRPr="00941AFA" w:rsidRDefault="003B55BB" w:rsidP="00941AFA">
            <w:pP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30" w:type="dxa"/>
          </w:tcPr>
          <w:p w14:paraId="7F16E909" w14:textId="7B9B0822" w:rsidR="003B55BB" w:rsidRPr="00941AFA" w:rsidRDefault="00941AFA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Идея</w:t>
            </w:r>
          </w:p>
        </w:tc>
        <w:tc>
          <w:tcPr>
            <w:tcW w:w="2046" w:type="dxa"/>
          </w:tcPr>
          <w:p w14:paraId="2CF70957" w14:textId="1B4A1DFD" w:rsidR="003B55BB" w:rsidRPr="00941AFA" w:rsidRDefault="00941AFA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Стартап</w:t>
            </w:r>
          </w:p>
        </w:tc>
        <w:tc>
          <w:tcPr>
            <w:tcW w:w="2031" w:type="dxa"/>
          </w:tcPr>
          <w:p w14:paraId="1C2E06E1" w14:textId="4816DA6A" w:rsidR="003B55BB" w:rsidRPr="00941AFA" w:rsidRDefault="00941AFA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Рост</w:t>
            </w:r>
          </w:p>
        </w:tc>
      </w:tr>
      <w:tr w:rsidR="00941AFA" w:rsidRPr="00941AFA" w14:paraId="641B562E" w14:textId="77777777" w:rsidTr="00947B46">
        <w:tc>
          <w:tcPr>
            <w:tcW w:w="2392" w:type="dxa"/>
          </w:tcPr>
          <w:p w14:paraId="75C3295D" w14:textId="40BB9422" w:rsidR="00941AFA" w:rsidRPr="00941AFA" w:rsidRDefault="00941AFA" w:rsidP="0016360E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Стандартный</w:t>
            </w:r>
          </w:p>
        </w:tc>
        <w:tc>
          <w:tcPr>
            <w:tcW w:w="2030" w:type="dxa"/>
          </w:tcPr>
          <w:p w14:paraId="5B16BAFC" w14:textId="11D127F7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250 000 руб. (</w:t>
            </w:r>
            <w:r w:rsidR="00941AFA">
              <w:rPr>
                <w:rFonts w:ascii="Arial" w:eastAsia="Times New Roman" w:hAnsi="Arial" w:cs="Arial"/>
                <w:color w:val="000000"/>
              </w:rPr>
              <w:t>0,25%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46" w:type="dxa"/>
          </w:tcPr>
          <w:p w14:paraId="12104C76" w14:textId="726C6D6F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</w:t>
            </w:r>
            <w:r w:rsidR="00EE3C40">
              <w:rPr>
                <w:rFonts w:ascii="Arial" w:eastAsia="Times New Roman" w:hAnsi="Arial" w:cs="Arial"/>
                <w:color w:val="000000"/>
              </w:rPr>
              <w:t>2</w:t>
            </w:r>
            <w:r w:rsidR="00941AFA">
              <w:rPr>
                <w:rFonts w:ascii="Arial" w:eastAsia="Times New Roman" w:hAnsi="Arial" w:cs="Arial"/>
                <w:color w:val="000000"/>
              </w:rPr>
              <w:t>0%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31" w:type="dxa"/>
          </w:tcPr>
          <w:p w14:paraId="16520876" w14:textId="4CA65BA5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EE3C40">
              <w:rPr>
                <w:rFonts w:ascii="Arial" w:eastAsia="Times New Roman" w:hAnsi="Arial" w:cs="Arial"/>
                <w:color w:val="000000"/>
              </w:rPr>
              <w:t>0</w:t>
            </w:r>
            <w:r w:rsidR="00941AFA">
              <w:rPr>
                <w:rFonts w:ascii="Arial" w:eastAsia="Times New Roman" w:hAnsi="Arial" w:cs="Arial"/>
                <w:color w:val="000000"/>
              </w:rPr>
              <w:t>,</w:t>
            </w:r>
            <w:r w:rsidR="00EE3C40">
              <w:rPr>
                <w:rFonts w:ascii="Arial" w:eastAsia="Times New Roman" w:hAnsi="Arial" w:cs="Arial"/>
                <w:color w:val="000000"/>
              </w:rPr>
              <w:t>15</w:t>
            </w:r>
            <w:r w:rsidR="00941AFA">
              <w:rPr>
                <w:rFonts w:ascii="Arial" w:eastAsia="Times New Roman" w:hAnsi="Arial" w:cs="Arial"/>
                <w:color w:val="000000"/>
              </w:rPr>
              <w:t>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941AFA" w:rsidRPr="00941AFA" w14:paraId="2425B3B1" w14:textId="77777777" w:rsidTr="00947B46">
        <w:tc>
          <w:tcPr>
            <w:tcW w:w="2392" w:type="dxa"/>
          </w:tcPr>
          <w:p w14:paraId="07C60F36" w14:textId="772EB237" w:rsidR="00941AFA" w:rsidRPr="00941AFA" w:rsidRDefault="00941AFA" w:rsidP="0016360E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t>Стратегический</w:t>
            </w:r>
          </w:p>
        </w:tc>
        <w:tc>
          <w:tcPr>
            <w:tcW w:w="2030" w:type="dxa"/>
          </w:tcPr>
          <w:p w14:paraId="54423EB1" w14:textId="62A279F8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</w:t>
            </w:r>
            <w:r w:rsidR="00EE3C40">
              <w:rPr>
                <w:rFonts w:ascii="Arial" w:eastAsia="Times New Roman" w:hAnsi="Arial" w:cs="Arial"/>
                <w:color w:val="000000"/>
              </w:rPr>
              <w:t>50</w:t>
            </w:r>
            <w:r w:rsidR="00941AFA">
              <w:rPr>
                <w:rFonts w:ascii="Arial" w:eastAsia="Times New Roman" w:hAnsi="Arial" w:cs="Arial"/>
                <w:color w:val="000000"/>
              </w:rPr>
              <w:t>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46" w:type="dxa"/>
          </w:tcPr>
          <w:p w14:paraId="0C6BEF5C" w14:textId="76F19329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0,40%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31" w:type="dxa"/>
          </w:tcPr>
          <w:p w14:paraId="23CA54D8" w14:textId="2769CD4C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</w:t>
            </w:r>
            <w:r w:rsidR="00EE3C40">
              <w:rPr>
                <w:rFonts w:ascii="Arial" w:eastAsia="Times New Roman" w:hAnsi="Arial" w:cs="Arial"/>
                <w:color w:val="000000"/>
              </w:rPr>
              <w:t>30</w:t>
            </w:r>
            <w:r w:rsidR="00941AFA">
              <w:rPr>
                <w:rFonts w:ascii="Arial" w:eastAsia="Times New Roman" w:hAnsi="Arial" w:cs="Arial"/>
                <w:color w:val="000000"/>
              </w:rPr>
              <w:t>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941AFA" w:rsidRPr="00941AFA" w14:paraId="11573FE7" w14:textId="77777777" w:rsidTr="00947B46">
        <w:tc>
          <w:tcPr>
            <w:tcW w:w="2392" w:type="dxa"/>
          </w:tcPr>
          <w:p w14:paraId="556B633E" w14:textId="5577EE53" w:rsidR="00941AFA" w:rsidRPr="00941AFA" w:rsidRDefault="00941AFA" w:rsidP="0016360E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41AFA">
              <w:rPr>
                <w:rFonts w:ascii="Arial" w:eastAsia="Times New Roman" w:hAnsi="Arial" w:cs="Arial"/>
                <w:color w:val="000000"/>
              </w:rPr>
              <w:lastRenderedPageBreak/>
              <w:t>Экспертный</w:t>
            </w:r>
          </w:p>
        </w:tc>
        <w:tc>
          <w:tcPr>
            <w:tcW w:w="2030" w:type="dxa"/>
          </w:tcPr>
          <w:p w14:paraId="13CB287A" w14:textId="19E81176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1 000 000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EE3C40">
              <w:rPr>
                <w:rFonts w:ascii="Arial" w:eastAsia="Times New Roman" w:hAnsi="Arial" w:cs="Arial"/>
                <w:color w:val="000000"/>
              </w:rPr>
              <w:t>1</w:t>
            </w:r>
            <w:r w:rsidR="00941AFA">
              <w:rPr>
                <w:rFonts w:ascii="Arial" w:eastAsia="Times New Roman" w:hAnsi="Arial" w:cs="Arial"/>
                <w:color w:val="000000"/>
              </w:rPr>
              <w:t>,</w:t>
            </w:r>
            <w:r w:rsidR="00EE3C40">
              <w:rPr>
                <w:rFonts w:ascii="Arial" w:eastAsia="Times New Roman" w:hAnsi="Arial" w:cs="Arial"/>
                <w:color w:val="000000"/>
              </w:rPr>
              <w:t>00</w:t>
            </w:r>
            <w:r w:rsidR="00941AFA">
              <w:rPr>
                <w:rFonts w:ascii="Arial" w:eastAsia="Times New Roman" w:hAnsi="Arial" w:cs="Arial"/>
                <w:color w:val="000000"/>
              </w:rPr>
              <w:t>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46" w:type="dxa"/>
          </w:tcPr>
          <w:p w14:paraId="73DC99D2" w14:textId="54EDCBA8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</w:t>
            </w:r>
            <w:r w:rsidR="00EE3C40">
              <w:rPr>
                <w:rFonts w:ascii="Arial" w:eastAsia="Times New Roman" w:hAnsi="Arial" w:cs="Arial"/>
                <w:color w:val="000000"/>
              </w:rPr>
              <w:t>80</w:t>
            </w:r>
            <w:r w:rsidR="00941AFA">
              <w:rPr>
                <w:rFonts w:ascii="Arial" w:eastAsia="Times New Roman" w:hAnsi="Arial" w:cs="Arial"/>
                <w:color w:val="000000"/>
              </w:rPr>
              <w:t>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2031" w:type="dxa"/>
          </w:tcPr>
          <w:p w14:paraId="710614C2" w14:textId="30BF3CCA" w:rsidR="00941AFA" w:rsidRPr="00517DA3" w:rsidRDefault="00D665B7" w:rsidP="00941AFA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600 000 руб.</w:t>
            </w:r>
            <w:r>
              <w:rPr>
                <w:rFonts w:ascii="Arial" w:eastAsia="Times New Roman" w:hAnsi="Arial" w:cs="Arial"/>
                <w:color w:val="000000"/>
              </w:rPr>
              <w:br/>
              <w:t>(</w:t>
            </w:r>
            <w:r w:rsidR="00941AFA">
              <w:rPr>
                <w:rFonts w:ascii="Arial" w:eastAsia="Times New Roman" w:hAnsi="Arial" w:cs="Arial"/>
                <w:color w:val="000000"/>
              </w:rPr>
              <w:t>0,60%</w:t>
            </w:r>
            <w:r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</w:tbl>
    <w:p w14:paraId="5BC382B7" w14:textId="09E9B24E" w:rsidR="00086018" w:rsidRPr="002C702D" w:rsidRDefault="00C465AC" w:rsidP="00947B46">
      <w:pPr>
        <w:spacing w:before="120" w:after="24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860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целях иллюстрации </w:t>
      </w:r>
      <w:r w:rsidRPr="00C465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="00941AFA" w:rsidRPr="00C465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редложенные стадии </w:t>
      </w:r>
      <w:r w:rsidR="003B55BB" w:rsidRPr="00C465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развития Общества </w:t>
      </w:r>
      <w:r w:rsidR="00941AFA" w:rsidRPr="00C465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описаны </w:t>
      </w:r>
      <w:r w:rsidR="003B55BB" w:rsidRPr="00C465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Приложении 2.</w:t>
      </w:r>
    </w:p>
    <w:p w14:paraId="1D41F1CB" w14:textId="50BC43CF" w:rsidR="00C465AC" w:rsidRPr="00D665B7" w:rsidRDefault="00517DA3" w:rsidP="008D2053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Ref45270751"/>
      <w:r w:rsidRPr="00D665B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Размер доли</w:t>
      </w:r>
      <w:r w:rsidR="00F92278" w:rsidRPr="00D665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397022" w:rsidRPr="00D665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</w:t>
      </w:r>
      <w:r w:rsidR="00397022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целей </w:t>
      </w:r>
      <w:r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конвертации согласно пункту 5 в зависимости от размера причитающегося Консультанту вознаграждения за </w:t>
      </w:r>
      <w:r w:rsidR="00AE1D89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Услуги, которые уже оказаны или которые будут оказаны в будущем </w:t>
      </w:r>
      <w:r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(«</w:t>
      </w:r>
      <w:r w:rsidRPr="00D665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Задолженность</w:t>
      </w:r>
      <w:r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»)</w:t>
      </w:r>
      <w:r w:rsidR="00852D0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022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 должен получить дол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уставном капитале Общества</w:t>
      </w:r>
      <w:r w:rsidR="00A718C1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результате конвертации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размере, указанном </w:t>
      </w:r>
      <w:r w:rsid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таблице в пункте 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_Ref45041129 \r \h </w:instrTex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выше</w:t>
      </w:r>
      <w:r w:rsid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скобках</w:t>
      </w:r>
      <w:r w:rsidR="00D665B7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21E66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Во избежание сомнений Консультант не вправе требовать возврата Задолженности в денежном эквиваленте, кроме случа</w:t>
      </w:r>
      <w:r w:rsidR="0069056F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021E66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когда Консультант не по своей вине не получит долю в уставном капитале Общества, как это предусмотрено в пункте </w:t>
      </w:r>
      <w:r w:rsidR="00E57AE0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E57AE0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_Ref45276816 \r \h </w:instrText>
      </w:r>
      <w:r w:rsidR="00E57AE0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E57AE0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E57AE0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021E66" w:rsidRPr="00D665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14:paraId="0BE24646" w14:textId="42D35F30" w:rsidR="00F92278" w:rsidRDefault="00F92278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Ref4606793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Конвертация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Конвертация Задолженности в долю в уставном капитале Общества осуществляется путем увеличения уставного капитала Общества за счет вклада Консультанта путем зачета Задолженности в счет оплаты вклада Консультанта в уставный капитал Общества (п. 4 ст. 19 ФЗ «Об ООО»). В течение 30 </w:t>
      </w:r>
      <w:r w:rsidR="00E57A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(тридцати)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дней с Даты заключения Договора Консультант должен направить Обществу и Основателям соответствующее уведомление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Заявление о конвертации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»), в котором должны быть указаны размер и состав вклада, порядок и срок его внесения, размер доли, которую Консультант вправе иметь в уставном капитале Общества с учетом условий конвертации, 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>предусмотренных в настоящем Договоре</w:t>
      </w:r>
      <w:r w:rsidR="00A36ECD">
        <w:rPr>
          <w:rFonts w:ascii="Times New Roman" w:eastAsia="Times New Roman" w:hAnsi="Times New Roman" w:cs="Times New Roman"/>
          <w:sz w:val="24"/>
          <w:szCs w:val="24"/>
        </w:rPr>
        <w:t>, а также содержаться заявление о принятии Консультанта в состав участников Общества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 xml:space="preserve">. Заявление о конвертации </w:t>
      </w:r>
      <w:r w:rsidR="0094117E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>имеет силу заявления третьего лица (</w:t>
      </w:r>
      <w:proofErr w:type="spellStart"/>
      <w:r w:rsidRPr="00F92278">
        <w:rPr>
          <w:rFonts w:ascii="Times New Roman" w:eastAsia="Times New Roman" w:hAnsi="Times New Roman" w:cs="Times New Roman"/>
          <w:sz w:val="24"/>
          <w:szCs w:val="24"/>
        </w:rPr>
        <w:t>абз</w:t>
      </w:r>
      <w:proofErr w:type="spellEnd"/>
      <w:r w:rsidRPr="00F92278">
        <w:rPr>
          <w:rFonts w:ascii="Times New Roman" w:eastAsia="Times New Roman" w:hAnsi="Times New Roman" w:cs="Times New Roman"/>
          <w:sz w:val="24"/>
          <w:szCs w:val="24"/>
        </w:rPr>
        <w:t xml:space="preserve">. 2 п. 2 ст. 19 ФЗ «Об ООО»). В течение 10 (десяти) календарных дней после получения Заявления о конвертации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Основатели 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>обязан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общем собрании участников Общества </w:t>
      </w:r>
      <w:r w:rsidRPr="00F92278">
        <w:rPr>
          <w:rFonts w:ascii="Times New Roman" w:eastAsia="Times New Roman" w:hAnsi="Times New Roman" w:cs="Times New Roman"/>
          <w:sz w:val="24"/>
          <w:szCs w:val="24"/>
        </w:rPr>
        <w:t xml:space="preserve">принять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об увеличении уставного капитала Общества за счет вклада Консультанта путем зачета Задолженности в счет оплаты вклада Консультанта в уставный капитал Общества. Одновременно с решением об увеличении уставного капитала Общества на основании Заявления о конвертации </w:t>
      </w:r>
      <w:r w:rsidR="00ED26D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снователи обязаны принять решения о принятии Консультанта в состав участников Общества, о внесении в устав Общества изменений в связи с увеличением уставного капитала, об определении номинальной стоимости и размера доли Консультанта, а также об изменении размеров долей участников Общества.</w:t>
      </w:r>
      <w:bookmarkEnd w:id="3"/>
    </w:p>
    <w:p w14:paraId="212DCAD3" w14:textId="04F251D4" w:rsidR="00F92278" w:rsidRDefault="00F92278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Размер доли</w:t>
      </w:r>
      <w:r w:rsidRPr="00F922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5F099F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конвертации Консультант должен иметь долю в уставном капитале Общества, соответствующую </w:t>
      </w:r>
      <w:r w:rsidR="00ED26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размеру Задолженности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как предусмотрено в пункт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_Ref45041129 \r \h </w:instrTex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26D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F4D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этом Стороны соглашаются, что уставный капитал </w:t>
      </w:r>
      <w:r w:rsidR="005F09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Общества </w:t>
      </w:r>
      <w:r w:rsidR="000F4D66"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 увеличен в минимально допустимом размере, необходимом для</w:t>
      </w:r>
      <w:r w:rsidR="00D915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выделения Консультанту доли в предусмотренном размере.</w:t>
      </w:r>
    </w:p>
    <w:tbl>
      <w:tblPr>
        <w:tblStyle w:val="60"/>
        <w:tblW w:w="8505" w:type="dxa"/>
        <w:tblInd w:w="557" w:type="dxa"/>
        <w:tblLayout w:type="fixed"/>
        <w:tblLook w:val="0400" w:firstRow="0" w:lastRow="0" w:firstColumn="0" w:lastColumn="0" w:noHBand="0" w:noVBand="1"/>
      </w:tblPr>
      <w:tblGrid>
        <w:gridCol w:w="8505"/>
      </w:tblGrid>
      <w:tr w:rsidR="00D9151E" w14:paraId="6FAB070B" w14:textId="77777777" w:rsidTr="00947B46">
        <w:trPr>
          <w:trHeight w:val="860"/>
        </w:trPr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103F8" w14:textId="77777777" w:rsidR="00D9151E" w:rsidRDefault="00D9151E" w:rsidP="00D9151E">
            <w:pPr>
              <w:spacing w:before="120" w:after="12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Пример для иллюстрации</w:t>
            </w:r>
          </w:p>
          <w:p w14:paraId="3697C029" w14:textId="4A5328E4" w:rsidR="00D9151E" w:rsidRDefault="00D9151E" w:rsidP="00D6434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Допустим, что 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бщество имеет уставный капитал в размере 10 000 рублей. В соответствии с 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оговором 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онсультант 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получ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</w:t>
            </w:r>
            <w:r w:rsidR="00ED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размере 0,5% от уставного капитала, а </w:t>
            </w:r>
            <w:r w:rsidR="005F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вознаграждение за Услуги в течение всего Срока Договора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составляет </w:t>
            </w:r>
            <w:r w:rsidR="00646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00 000 рублей.</w:t>
            </w:r>
          </w:p>
          <w:p w14:paraId="6065292B" w14:textId="52925CE1" w:rsidR="00D9151E" w:rsidRDefault="00D9151E" w:rsidP="00D6434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таком случае для выделения </w:t>
            </w:r>
            <w:r w:rsidR="005F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Консультанту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доли в указанном размере необходимо про</w:t>
            </w:r>
            <w:r w:rsidR="0014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 увеличение номинального уставного капитала Общества в следующем порядке:</w:t>
            </w:r>
          </w:p>
          <w:p w14:paraId="56825B0A" w14:textId="51AC07A4" w:rsidR="00CE2B9C" w:rsidRDefault="00CE2B9C" w:rsidP="00F508E3">
            <w:pPr>
              <w:pStyle w:val="aa"/>
              <w:numPr>
                <w:ilvl w:val="0"/>
                <w:numId w:val="9"/>
              </w:numPr>
              <w:spacing w:before="120" w:after="120" w:line="240" w:lineRule="auto"/>
              <w:ind w:left="609" w:hanging="6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стоимость доли </w:t>
            </w:r>
            <w:r w:rsidR="00ED26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онсультанта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уставном капитале </w:t>
            </w:r>
            <w:r w:rsidR="00ED26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бщества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увеличения уставного капитала </w:t>
            </w:r>
            <w:r w:rsidR="00ED26D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бщества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5E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</w:t>
            </w:r>
            <w:r w:rsidR="008C5EC3">
              <w:rPr>
                <w:rFonts w:ascii="Times New Roman" w:eastAsia="Times New Roman" w:hAnsi="Times New Roman" w:cs="Times New Roman"/>
                <w:sz w:val="24"/>
                <w:szCs w:val="24"/>
              </w:rPr>
              <w:t>ей 25 копеек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153713" w14:textId="3D63DC7E" w:rsidR="00CE2B9C" w:rsidRDefault="00AA3001" w:rsidP="00F508E3">
            <w:pPr>
              <w:pStyle w:val="aa"/>
              <w:numPr>
                <w:ilvl w:val="0"/>
                <w:numId w:val="9"/>
              </w:numPr>
              <w:spacing w:before="120" w:after="120" w:line="240" w:lineRule="auto"/>
              <w:ind w:left="609" w:hanging="6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азмер уставного капитала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бщества 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увеличения уставного капитала за счет вклада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онсультанта 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составлять 10 </w:t>
            </w:r>
            <w:r w:rsidR="008C5EC3"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  <w:r w:rsidR="008C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 копеек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онсультанта 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равна </w:t>
            </w:r>
            <w:r w:rsidR="008C5EC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E2B9C"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>%; и</w:t>
            </w:r>
          </w:p>
          <w:p w14:paraId="027222BB" w14:textId="72807E5A" w:rsidR="00D9151E" w:rsidRPr="00CE2B9C" w:rsidRDefault="00CE2B9C" w:rsidP="00F508E3">
            <w:pPr>
              <w:pStyle w:val="aa"/>
              <w:numPr>
                <w:ilvl w:val="0"/>
                <w:numId w:val="9"/>
              </w:numPr>
              <w:spacing w:before="120" w:after="120" w:line="240" w:lineRule="auto"/>
              <w:ind w:left="609" w:hanging="609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размер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вклада </w:t>
            </w:r>
            <w:r w:rsidR="00AA300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онсультанта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уставный капитал </w:t>
            </w:r>
            <w:r w:rsidR="00AA3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бщества</w:t>
            </w:r>
            <w:r w:rsidR="00AA30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6463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00 000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при этом разница между вкладом и номинальной стоимостью приобретаемой доли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размере </w:t>
            </w:r>
            <w:r w:rsidR="006463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99 </w:t>
            </w:r>
            <w:r w:rsidR="0047153C">
              <w:rPr>
                <w:rFonts w:ascii="Times New Roman" w:eastAsia="Times New Roman" w:hAnsi="Times New Roman" w:cs="Times New Roman"/>
                <w:sz w:val="24"/>
                <w:szCs w:val="24"/>
              </w:rPr>
              <w:t>949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47153C">
              <w:rPr>
                <w:rFonts w:ascii="Times New Roman" w:eastAsia="Times New Roman" w:hAnsi="Times New Roman" w:cs="Times New Roman"/>
                <w:sz w:val="24"/>
                <w:szCs w:val="24"/>
              </w:rPr>
              <w:t>ей 75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отражена в бухгалтерии </w:t>
            </w:r>
            <w:r w:rsidR="00AA3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64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бщества </w:t>
            </w:r>
            <w:r w:rsidRPr="00CE2B9C">
              <w:rPr>
                <w:rFonts w:ascii="Times New Roman" w:eastAsia="Times New Roman" w:hAnsi="Times New Roman" w:cs="Times New Roman"/>
                <w:sz w:val="24"/>
                <w:szCs w:val="24"/>
              </w:rPr>
              <w:t>по счету 83 «Добавочный капитал».</w:t>
            </w:r>
          </w:p>
        </w:tc>
      </w:tr>
    </w:tbl>
    <w:p w14:paraId="027327F1" w14:textId="351F55FB" w:rsidR="00B82CE8" w:rsidRDefault="00CE4331" w:rsidP="00947B46">
      <w:pPr>
        <w:numPr>
          <w:ilvl w:val="0"/>
          <w:numId w:val="3"/>
        </w:numPr>
        <w:spacing w:before="240"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Ref4606885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="00B82CE8" w:rsidRPr="00B82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 обязанности</w:t>
      </w:r>
      <w:r w:rsidR="00B82CE8" w:rsidRPr="00B82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миноритарного участника</w:t>
      </w:r>
      <w:r w:rsidR="00B82CE8">
        <w:rPr>
          <w:rFonts w:ascii="Times New Roman" w:eastAsia="Times New Roman" w:hAnsi="Times New Roman" w:cs="Times New Roman"/>
          <w:color w:val="000000"/>
          <w:sz w:val="24"/>
          <w:szCs w:val="24"/>
        </w:rPr>
        <w:t>. Одновременно с получением Консультантом доли в уставном капитале Общества он обязуется подписать с Основателями договор</w:t>
      </w:r>
      <w:r w:rsidR="003245C9">
        <w:rPr>
          <w:rStyle w:val="af5"/>
          <w:rFonts w:ascii="Times New Roman" w:eastAsia="Times New Roman" w:hAnsi="Times New Roman" w:cs="Times New Roman"/>
          <w:color w:val="000000"/>
          <w:sz w:val="24"/>
          <w:szCs w:val="24"/>
        </w:rPr>
        <w:footnoteReference w:id="1"/>
      </w:r>
      <w:r w:rsidR="00B82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осуществлении прав участников Общества, который будет, как минимум</w:t>
      </w:r>
      <w:r w:rsidR="0069056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82C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предусматривать следующие </w:t>
      </w:r>
      <w:r w:rsidR="00E976B1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r w:rsidR="00C83A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той степени, в которой они допустимы действующим законодательством</w:t>
      </w:r>
      <w:r w:rsidR="00E976B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End w:id="4"/>
    </w:p>
    <w:p w14:paraId="1527480B" w14:textId="2DD6D752" w:rsidR="00E976B1" w:rsidRDefault="001479E2" w:rsidP="00947B46">
      <w:pPr>
        <w:numPr>
          <w:ilvl w:val="1"/>
          <w:numId w:val="3"/>
        </w:numPr>
        <w:spacing w:before="240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обязательство Консультанта </w:t>
      </w: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голосования по вопросам, требующим единогласного решения участников Общества в силу закона или устава Общества, присоединяться к голосу одного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Основателей</w:t>
      </w:r>
      <w:r w:rsidR="00E976B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6CDFFCC" w14:textId="2764D668" w:rsidR="00E976B1" w:rsidRDefault="001479E2" w:rsidP="00947B46">
      <w:pPr>
        <w:numPr>
          <w:ilvl w:val="1"/>
          <w:numId w:val="3"/>
        </w:numPr>
        <w:spacing w:before="240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обязательство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Консультанта</w:t>
      </w: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присоединяться к продаже </w:t>
      </w:r>
      <w:r w:rsidR="00CE43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другими участниками Общества своих долей путем одновременной продажи Консультантом </w:t>
      </w: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своей доли в уставном капитале Общества, если другие участники, обладающие в совокупности более чем 50% в уставном капитале Общества, примут решение о продаже </w:t>
      </w:r>
      <w:r w:rsidR="00CE4331"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 долей в размере не менее 5</w:t>
      </w: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>0% долей в уставном капитале Общества третьему лицу (</w:t>
      </w:r>
      <w:r w:rsidR="00F41889" w:rsidRPr="00F41889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Pr="001E2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drag</w:t>
      </w:r>
      <w:r w:rsidRPr="001E2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1E2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along</w:t>
      </w:r>
      <w:r w:rsidRPr="001E2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E2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right</w:t>
      </w:r>
      <w:r w:rsidR="00F41889" w:rsidRPr="00F41889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976B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C7E4126" w14:textId="33CEB587" w:rsidR="00E976B1" w:rsidRDefault="00D2001C" w:rsidP="00947B46">
      <w:pPr>
        <w:numPr>
          <w:ilvl w:val="1"/>
          <w:numId w:val="3"/>
        </w:numPr>
        <w:spacing w:before="240" w:after="240" w:line="240" w:lineRule="auto"/>
        <w:ind w:left="113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договоренности в отношении</w:t>
      </w:r>
      <w:r w:rsid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47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Консультантом деятельности, конкурирующей с деятельностью Общества</w:t>
      </w:r>
      <w:r w:rsidR="00E976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B03D1D2" w14:textId="0F69ED52" w:rsidR="00B02414" w:rsidRDefault="00B02414" w:rsidP="00947B46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Основатели обязуются не менять состав участников Общества до подписания такого договора об осуществлении прав участников Общества.</w:t>
      </w:r>
    </w:p>
    <w:p w14:paraId="0AC0EEAC" w14:textId="777D958F" w:rsidR="001479E2" w:rsidRPr="00B97E0F" w:rsidRDefault="005C5BC9" w:rsidP="00827678">
      <w:pPr>
        <w:numPr>
          <w:ilvl w:val="0"/>
          <w:numId w:val="3"/>
        </w:numPr>
        <w:spacing w:before="240"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Ref45276816"/>
      <w:r w:rsidRPr="00B97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Отказ от Договора</w:t>
      </w:r>
      <w:r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D6BD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97E0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случа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="00B97E0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, если не по вине Консультанта и не по обстоятельствам, риск возникновения которых лежит на Консультанте, Консультант не станет участником Общества в течение 60 (шестидесяти) календарных дней с даты получения Основателями Заявления о конвертации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9E2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 вправе в одностороннем внесудебном порядке отказаться от настоящего Договора и потребовать выплаты </w:t>
      </w:r>
      <w:r w:rsidR="00F4212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вознаграждения </w:t>
      </w:r>
      <w:r w:rsidR="00B97E0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пропорционально сроку, в течение которого Консультант надлежащим образом оказывал Услуги Обществу, но в любом случае не более чем 100 000 руб.</w:t>
      </w:r>
      <w:r w:rsidR="001479E2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начислением на эту сумму </w:t>
      </w:r>
      <w:r w:rsidR="001479E2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процентов по ставке </w:t>
      </w:r>
      <w:r w:rsidR="001E22F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1479E2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% (</w:t>
      </w:r>
      <w:r w:rsidR="001E22F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десять</w:t>
      </w:r>
      <w:r w:rsidR="001479E2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процентов) за весь период с </w:t>
      </w:r>
      <w:r w:rsidR="0094117E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21007D">
        <w:rPr>
          <w:rFonts w:ascii="Times New Roman" w:eastAsia="Times New Roman" w:hAnsi="Times New Roman" w:cs="Times New Roman"/>
          <w:color w:val="000000"/>
          <w:sz w:val="24"/>
          <w:szCs w:val="24"/>
        </w:rPr>
        <w:t>, когда Обществ</w:t>
      </w:r>
      <w:r w:rsidR="00091A5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100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получит от Консультанта уведомление об отказе от Договора</w:t>
      </w:r>
      <w:r w:rsidR="007C29A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5"/>
      <w:r w:rsidR="007C29AF" w:rsidRP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FD527D" w14:textId="6A4F53CD" w:rsidR="00D66D9F" w:rsidRDefault="00CE55CE" w:rsidP="00947B46">
      <w:pPr>
        <w:numPr>
          <w:ilvl w:val="0"/>
          <w:numId w:val="3"/>
        </w:numPr>
        <w:spacing w:before="240"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Ref4606649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Колл-опцион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Основатели </w:t>
      </w:r>
      <w:r w:rsidR="00872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вправе 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следующих случаях </w:t>
      </w:r>
      <w:r w:rsidR="00872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своему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усмотрению </w:t>
      </w:r>
      <w:r w:rsidR="004B4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срока действия настоящего Договора </w:t>
      </w:r>
      <w:r w:rsidR="00BC29D7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направления уведомления («</w:t>
      </w:r>
      <w:r w:rsidR="00BC29D7" w:rsidRPr="0068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Уведомление</w:t>
      </w:r>
      <w:r w:rsidR="00BC29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 </w:t>
      </w:r>
      <w:r w:rsidR="00872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потребовать от Консультанта </w:t>
      </w:r>
      <w:r w:rsidR="004B4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заключить 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нотариальной форме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купли-продажи, </w:t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непосредственно направленные на отчуждение в пользу Основателей принадлежащей Консультанту доли (или ее части) 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>(«</w:t>
      </w:r>
      <w:r w:rsidR="00503848" w:rsidRPr="006860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ДКП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>»)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следующих условиях:</w:t>
      </w:r>
      <w:bookmarkEnd w:id="6"/>
      <w:r w:rsidR="00872A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890DEA1" w14:textId="4DCF59F1" w:rsidR="00027B19" w:rsidRDefault="002C714F" w:rsidP="00947B46">
      <w:pPr>
        <w:pStyle w:val="aa"/>
        <w:numPr>
          <w:ilvl w:val="0"/>
          <w:numId w:val="10"/>
        </w:numPr>
        <w:spacing w:before="240" w:after="240" w:line="240" w:lineRule="auto"/>
        <w:ind w:left="1134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Ref4527521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66D9F" w:rsidRPr="003B0F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случа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66D9F" w:rsidRPr="003B0F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недостижения Консультантом уровня вовлеченности в каком-либо из месяцев в течение </w:t>
      </w:r>
      <w:r w:rsidR="004C14A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66D9F" w:rsidRPr="003B0F37">
        <w:rPr>
          <w:rFonts w:ascii="Times New Roman" w:eastAsia="Times New Roman" w:hAnsi="Times New Roman" w:cs="Times New Roman"/>
          <w:color w:val="000000"/>
          <w:sz w:val="24"/>
          <w:szCs w:val="24"/>
        </w:rPr>
        <w:t>рока Договора, как это предусмотрено в Приложении 1,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независимо от вины Консультанта,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66AB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ДКП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Основатели 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</w:t>
      </w:r>
      <w:r w:rsidR="00503848">
        <w:rPr>
          <w:rFonts w:ascii="Times New Roman" w:eastAsia="Times New Roman" w:hAnsi="Times New Roman" w:cs="Times New Roman"/>
          <w:color w:val="000000"/>
          <w:sz w:val="24"/>
          <w:szCs w:val="24"/>
        </w:rPr>
        <w:t>тают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Консультанта по номинальной стоимости часть принадлежащей Консультанту доли в размере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66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равном отношению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разности 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B97E0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D3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количества дней, прошедших с Даты заключения Договора по дату получения Консультантом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C29D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 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Сроку </w:t>
      </w:r>
      <w:r w:rsidR="006D06E6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. Так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C29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ДКП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должны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заключен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30 (тридцати) дней с даты получения </w:t>
      </w:r>
      <w:r w:rsidR="00BC29D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соответствующего У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7"/>
    </w:p>
    <w:p w14:paraId="468E3B84" w14:textId="347B6AF6" w:rsidR="00D66D9F" w:rsidRDefault="00BC29D7" w:rsidP="00947B46">
      <w:pPr>
        <w:pStyle w:val="aa"/>
        <w:numPr>
          <w:ilvl w:val="0"/>
          <w:numId w:val="10"/>
        </w:numPr>
        <w:spacing w:before="240" w:after="240" w:line="240" w:lineRule="auto"/>
        <w:ind w:left="1134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Ref4527522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досрочно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прекращ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Консультантом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D136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ДКП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Основатели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тают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Консультанта по номинальной стоимости часть принадлежащей Консультанту доли в размере, равном отношению разности 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Срока Договора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количества дней, прошедших с Даты заключения Договора по дату его прекращения Консультантом, к 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Сроку </w:t>
      </w:r>
      <w:r w:rsidR="00F72D9B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ДКП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должны 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заключен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B4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30 (тридцати) дней с даты прекращения Договора Консультантом.</w:t>
      </w:r>
      <w:bookmarkEnd w:id="8"/>
    </w:p>
    <w:p w14:paraId="1FFA4973" w14:textId="7DBDC426" w:rsidR="00CB46D7" w:rsidRPr="00AD1E30" w:rsidRDefault="00BC29D7" w:rsidP="00947B46">
      <w:pPr>
        <w:spacing w:before="240" w:after="24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ДКП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долж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предусматривать иных условий, помимо: (</w:t>
      </w:r>
      <w:proofErr w:type="spellStart"/>
      <w:r w:rsidR="004C62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условий, указанных в пунктах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_Ref45275210 \r \h </w:instrTex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(а)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_Ref45275224 \r \h </w:instrTex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(б)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выше; (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условий, обязательно подлежащих включению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ДКП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императивными требованиями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применимого права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; (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условий, которые будут необходимы для нотариального удостоверения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ДКП 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по требованию нотариуса, удостоверяющего соответствующ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C62D2" w:rsidRP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 требовать заключения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ДКП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предоставляется 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Основателям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безвозмездно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ДКП</w:t>
      </w:r>
      <w:r w:rsidR="007850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заключаются по количеству Основателей, каждый из которых приобретает часть доли Консультанта пропорционально размеру доли соответствующего Основателя к общему размеру долей Основателей.</w:t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 избежание сомнений положения настоящего пункта </w:t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_Ref46066497 \r \h </w:instrText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414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 опционным договором по смыслу ст. 429.3 ГК РФ.</w:t>
      </w:r>
    </w:p>
    <w:p w14:paraId="36D25A10" w14:textId="0B97D4A2" w:rsidR="00104D56" w:rsidRPr="00723E0C" w:rsidRDefault="00027B19" w:rsidP="00947B46">
      <w:pPr>
        <w:numPr>
          <w:ilvl w:val="0"/>
          <w:numId w:val="3"/>
        </w:numPr>
        <w:spacing w:before="240"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Ref4606803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Интеллектуальная собственность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D1E30" w:rsidRPr="00AD1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D1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 настоящим передает </w:t>
      </w:r>
      <w:r w:rsidR="009646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исключительные права на объекты интеллектуальной собственности, которые могут быть созданы Консультантом в </w:t>
      </w:r>
      <w:r w:rsidR="00DC5854"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оказания Услуг по Договору</w:t>
      </w:r>
      <w:r w:rsidR="00964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C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интересах Общества 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 необходимости подписания каких-либо </w:t>
      </w:r>
      <w:r w:rsidR="00964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дополнительных 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документов между </w:t>
      </w:r>
      <w:r w:rsidR="00DC5854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Сторонами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85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избежание сомнений Консультант не передает исключительные права на объекты интеллектуальной собственности, которые были созданы Консультантом до Даты заключения Договора. 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 также обязуется передать Обществу все исключительные права 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объекты интеллектуальной собственности, которые </w:t>
      </w:r>
      <w:r w:rsidR="00D85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будет приобретены </w:t>
      </w:r>
      <w:r w:rsidR="009875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Консультантом 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третьих лиц в </w:t>
      </w:r>
      <w:r w:rsidR="00DC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рамках 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оказания Услуг </w:t>
      </w:r>
      <w:r w:rsidR="00DC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Договору 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>и в интересах Общества. Во избежание сомнений вознаграждение за отчуждаемые в пользу Общества исключительные права счита</w:t>
      </w:r>
      <w:r w:rsidR="0024348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включенным в стоимость Услуг на основании пункта 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_Ref45270751 \r \h </w:instrTex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723E0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14:paraId="4BB41923" w14:textId="1AC93C1D" w:rsidR="00723E0C" w:rsidRPr="00AD1E30" w:rsidRDefault="00723E0C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Ref4606779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Срок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Настоящий Договор </w:t>
      </w:r>
      <w:r w:rsidR="00516F85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 на срок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516F85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год</w:t>
      </w:r>
      <w:r w:rsidR="00516F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</w:t>
      </w:r>
      <w:r w:rsidR="005D76CD" w:rsidRPr="005D7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 Договора</w:t>
      </w:r>
      <w:r w:rsidR="005D76CD">
        <w:rPr>
          <w:rFonts w:ascii="Times New Roman" w:eastAsia="Times New Roman" w:hAnsi="Times New Roman" w:cs="Times New Roman"/>
          <w:color w:val="000000"/>
          <w:sz w:val="24"/>
          <w:szCs w:val="24"/>
        </w:rPr>
        <w:t>»)</w:t>
      </w:r>
      <w:r w:rsidR="00027B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целей положений пункта </w:t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REF _Ref46066497 \r \h </w:instrText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="00352D7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 Договора считается равным 730 (</w:t>
      </w:r>
      <w:r w:rsidR="00846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семистам </w:t>
      </w:r>
      <w:r w:rsidR="00BE7FA6">
        <w:rPr>
          <w:rFonts w:ascii="Times New Roman" w:eastAsia="Times New Roman" w:hAnsi="Times New Roman" w:cs="Times New Roman"/>
          <w:color w:val="000000"/>
          <w:sz w:val="24"/>
          <w:szCs w:val="24"/>
        </w:rPr>
        <w:t>тридцати) дням.</w:t>
      </w:r>
      <w:bookmarkEnd w:id="10"/>
    </w:p>
    <w:p w14:paraId="5ED4D78E" w14:textId="0630878C" w:rsidR="005B1567" w:rsidRDefault="005B1567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Настоящий Договор заключен в простой письменной форме </w:t>
      </w:r>
      <w:r w:rsidRPr="00104D56">
        <w:rPr>
          <w:rFonts w:ascii="Times New Roman" w:eastAsia="Times New Roman" w:hAnsi="Times New Roman" w:cs="Times New Roman"/>
          <w:color w:val="000000"/>
          <w:sz w:val="24"/>
          <w:szCs w:val="24"/>
        </w:rPr>
        <w:t>путем составления одного документа, подписанного сторонами. Договор заключен в простой письменной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форме, </w:t>
      </w:r>
      <w:r w:rsidR="002132E6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по причине того,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оказания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(ст. 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>779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ГК</w:t>
      </w:r>
      <w:r w:rsidR="004C62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 w:rsidR="00E47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корпоративный договор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(п. 3 ст. 67.2 ГК РФ) могут быть заключены в простой письменной форме.</w:t>
      </w:r>
    </w:p>
    <w:p w14:paraId="265E50CF" w14:textId="656BEF36" w:rsidR="005B1567" w:rsidRDefault="005B1567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Конфиденциальность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Каждая Сторона должна сохранять конфиденциальность и не раскрывать третьим лицам без предварительного письменного согласия других Сторон, а также не использовать в каких-либо целях, не связанных с предметом настоящего Договора, следующую информацию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Конфиденциальная 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»): (</w:t>
      </w:r>
      <w:proofErr w:type="spellStart"/>
      <w:r w:rsidR="004C62D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 предмете настоящего Договора, а также переговорах относительно Договора; и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полученную или приобретенную от другой Стороны или ее аффилированных лиц («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Раскрывающее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 в результате заключения или исполнения настоящего Договора</w:t>
      </w:r>
      <w:r w:rsidR="002132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числе, техническую, коммерческую и финансовую информацию, включая информацию, касающуюся работников, ценообразования, продукции, операционной деятельности, процессов, бизнес-планов или намерений, интеллектуальной собственности, коммерческой тайны, списков клиентов, конъюнктуры рынка, финансовых вопросов или состояния дел любой Стороны или ее аффилированных лиц. К Конфиденциальной информации не относится информация, которая: (</w:t>
      </w:r>
      <w:proofErr w:type="spellStart"/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является или становится общедоступной не в результате нарушения условий настоящего Договора о конфиденциальности;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отношении которой Сторона может доказать, что такая информация была ей известна до ее раскрытия;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была раскрыта получающей Стороне или ее аффилированным лицам третьим лицом без нарушения обязательства о соблюдении конфиденциальности, принятого перед Раскрывающим лицом, о котором было известно получающей Стороне; или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раскрыта получающей информацию Стороне или ее аффилированными лицами независимо от ее раскрытия Раскрывающим лицом.</w:t>
      </w:r>
    </w:p>
    <w:p w14:paraId="0B4ED019" w14:textId="7D357A3C" w:rsidR="005B1567" w:rsidRDefault="005B1567" w:rsidP="00947B46">
      <w:pPr>
        <w:numPr>
          <w:ilvl w:val="0"/>
          <w:numId w:val="3"/>
        </w:numPr>
        <w:spacing w:after="20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Любое уведомление в соответствии с настоящим Договором должно быть оформлено в письменном виде и подписано уполномоченным лицом. Все заявления, уведомления, извещения, требования или иные юридически значимые сообщения, с которыми закон или Договор связывает правовые последствия, могут быть направлены 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 xml:space="preserve">другой Стороне посредством электронной почты, факсимильной, почтовой или другой связи. Стороны признают юридическую силу всех документов, </w:t>
      </w:r>
      <w:r w:rsidRPr="0068602A">
        <w:rPr>
          <w:rFonts w:ascii="Times New Roman" w:eastAsia="Times New Roman" w:hAnsi="Times New Roman" w:cs="Times New Roman"/>
          <w:sz w:val="24"/>
          <w:szCs w:val="24"/>
        </w:rPr>
        <w:t xml:space="preserve">направленных друг другу посредством факсимильной, почтовой </w:t>
      </w:r>
      <w:r w:rsidRPr="0068602A">
        <w:rPr>
          <w:rFonts w:ascii="Times New Roman" w:eastAsia="Times New Roman" w:hAnsi="Times New Roman" w:cs="Times New Roman"/>
          <w:color w:val="000000"/>
          <w:sz w:val="24"/>
          <w:szCs w:val="24"/>
        </w:rPr>
        <w:t>или другой связи или электронной почты при условии надлежащего их оформления и возможности однозначно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судить о времени, адресате, адресанте, содержании и факте получения.</w:t>
      </w:r>
    </w:p>
    <w:tbl>
      <w:tblPr>
        <w:tblStyle w:val="50"/>
        <w:tblW w:w="8789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2311"/>
        <w:gridCol w:w="2878"/>
        <w:gridCol w:w="3600"/>
      </w:tblGrid>
      <w:tr w:rsidR="005B1567" w14:paraId="42B70878" w14:textId="77777777" w:rsidTr="00947B46">
        <w:trPr>
          <w:trHeight w:val="460"/>
        </w:trPr>
        <w:tc>
          <w:tcPr>
            <w:tcW w:w="2311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6991F9B7" w14:textId="7648C126" w:rsidR="005B1567" w:rsidRDefault="005B1567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2025C8E2" w14:textId="5FCA6ABC" w:rsidR="005B1567" w:rsidRP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E-mail: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6498530D" w14:textId="0828758E" w:rsidR="005B1567" w:rsidRP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</w:tr>
      <w:tr w:rsidR="00034D58" w14:paraId="43EC675A" w14:textId="77777777" w:rsidTr="00947B46">
        <w:trPr>
          <w:trHeight w:val="460"/>
        </w:trPr>
        <w:tc>
          <w:tcPr>
            <w:tcW w:w="2311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1D568B63" w14:textId="6026C677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Консультант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878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1C2E15A1" w14:textId="1CA56B66" w:rsidR="00034D58" w:rsidRPr="003B577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2F0091F6" w14:textId="1115DE4E" w:rsidR="00034D58" w:rsidRPr="003B577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C13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034D58" w14:paraId="26FAE636" w14:textId="77777777" w:rsidTr="00947B46">
        <w:trPr>
          <w:trHeight w:val="460"/>
        </w:trPr>
        <w:tc>
          <w:tcPr>
            <w:tcW w:w="2311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02CCA8E8" w14:textId="308D3794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Общество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878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00788070" w14:textId="0BF5AEE0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29E3E5FD" w14:textId="4891396B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034D58" w14:paraId="3A81CD48" w14:textId="77777777" w:rsidTr="00947B46">
        <w:trPr>
          <w:trHeight w:val="460"/>
        </w:trPr>
        <w:tc>
          <w:tcPr>
            <w:tcW w:w="2311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025E5B02" w14:textId="5AAA3E38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Основатель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878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78D60C17" w14:textId="71334612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469AC4EF" w14:textId="767530FA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034D58" w14:paraId="5961AAF3" w14:textId="77777777" w:rsidTr="00947B46">
        <w:trPr>
          <w:trHeight w:val="460"/>
        </w:trPr>
        <w:tc>
          <w:tcPr>
            <w:tcW w:w="2311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415D92ED" w14:textId="7713402D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Основатель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878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3DDA6205" w14:textId="571414C0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3600" w:type="dxa"/>
            <w:tcMar>
              <w:top w:w="100" w:type="dxa"/>
              <w:left w:w="100" w:type="dxa"/>
              <w:bottom w:w="100" w:type="dxa"/>
              <w:right w:w="180" w:type="dxa"/>
            </w:tcMar>
          </w:tcPr>
          <w:p w14:paraId="7DEF1E13" w14:textId="08E4D33F" w:rsidR="00034D58" w:rsidRDefault="00034D58" w:rsidP="00034D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указать</w:t>
            </w:r>
            <w:r w:rsidRPr="003B5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</w:tbl>
    <w:p w14:paraId="0E55D1D0" w14:textId="0B2F3C83" w:rsidR="00277039" w:rsidRDefault="00277039" w:rsidP="00947B46">
      <w:pPr>
        <w:numPr>
          <w:ilvl w:val="0"/>
          <w:numId w:val="3"/>
        </w:numPr>
        <w:spacing w:before="240"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Уступка</w:t>
      </w:r>
      <w:r w:rsidRPr="00F508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 одна из Сторон не вправе уступать свои права и </w:t>
      </w:r>
      <w:r w:rsidR="002132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перевод своего долга (передачу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обязанност</w:t>
      </w:r>
      <w:r w:rsidR="002132E6">
        <w:rPr>
          <w:rFonts w:ascii="Times New Roman" w:eastAsia="Times New Roman" w:hAnsi="Times New Roman" w:cs="Times New Roman"/>
          <w:color w:val="000000"/>
          <w:sz w:val="24"/>
          <w:szCs w:val="24"/>
        </w:rPr>
        <w:t>ей)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настоящего Договора третьим лицам без предварительного письменного согласия всех остальных Сторон.</w:t>
      </w:r>
    </w:p>
    <w:p w14:paraId="3D6E4FE1" w14:textId="77777777" w:rsidR="005B1567" w:rsidRDefault="005B1567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Исчерпывающий характер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Настоящий Договор представляет собой </w:t>
      </w:r>
      <w:r w:rsidRPr="00F508E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исчерпывающее соглашение и договоренность Сторон и заменяет собой все предшествующие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обсуждения, заверения, условия и договоренности по предмету Договора.</w:t>
      </w:r>
    </w:p>
    <w:p w14:paraId="646731E5" w14:textId="77777777" w:rsidR="00277039" w:rsidRPr="00104D56" w:rsidRDefault="00277039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Ref4606798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Применимое 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Договор 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>регулируется правом Российской Федерации.</w:t>
      </w:r>
      <w:bookmarkEnd w:id="11"/>
    </w:p>
    <w:p w14:paraId="65F2079D" w14:textId="4DD95BBE" w:rsidR="00277039" w:rsidRDefault="00277039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Разрешение споров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Все споры, разногласия или требования, возникающие из Договора или в связи с ним, в том числе касающиеся его толкования, исполнения, нарушения, прекращения или недействительности, кот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>орые не были разрешены в претензионном порядке в течение 30</w:t>
      </w:r>
      <w:r w:rsidR="008D010E">
        <w:rPr>
          <w:rFonts w:ascii="Times New Roman" w:eastAsia="Times New Roman" w:hAnsi="Times New Roman" w:cs="Times New Roman"/>
          <w:sz w:val="24"/>
          <w:szCs w:val="24"/>
        </w:rPr>
        <w:t xml:space="preserve"> (тридцати)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 xml:space="preserve"> дней с момента направления претензии, подлеж</w:t>
      </w:r>
      <w:r w:rsidR="004C62D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 xml:space="preserve">т разрешению </w:t>
      </w:r>
      <w:r w:rsidR="00860F0F">
        <w:rPr>
          <w:rFonts w:ascii="Times New Roman" w:eastAsia="Times New Roman" w:hAnsi="Times New Roman" w:cs="Times New Roman"/>
          <w:sz w:val="24"/>
          <w:szCs w:val="24"/>
        </w:rPr>
        <w:t>в суде по месту нахождения Общества</w:t>
      </w:r>
      <w:r w:rsidRPr="00104D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F54E2A" w14:textId="77777777" w:rsidR="00170A2C" w:rsidRDefault="005B1567" w:rsidP="00170A2C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Толкование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Если иное не следует из контекста, в настоящем Договоре: (</w:t>
      </w:r>
      <w:proofErr w:type="spellStart"/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наименования приложений, разделов и пунктов приводятся исключительно для информации и не могут быть использованы для его толкования;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любая ссылка на какое-либо </w:t>
      </w:r>
      <w:r w:rsidRPr="00F508E3">
        <w:rPr>
          <w:rFonts w:ascii="Times New Roman" w:eastAsia="Times New Roman" w:hAnsi="Times New Roman" w:cs="Times New Roman"/>
          <w:color w:val="000000"/>
          <w:sz w:val="24"/>
          <w:szCs w:val="24"/>
        </w:rPr>
        <w:t>лицо подразумевает также (в зависимости от обстоятельств) его правопреемников или разрешенных цессионариев; и (</w:t>
      </w:r>
      <w:r w:rsidR="00663AD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  <w:r w:rsidRPr="00F508E3">
        <w:rPr>
          <w:rFonts w:ascii="Times New Roman" w:eastAsia="Times New Roman" w:hAnsi="Times New Roman" w:cs="Times New Roman"/>
          <w:color w:val="000000"/>
          <w:sz w:val="24"/>
          <w:szCs w:val="24"/>
        </w:rPr>
        <w:t>) слова «включает», «включая», «в том 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«в частности» приводятся в целях указания на частные случаи общего правила и подлежат толкованию без ограничений перечисленного за ними.</w:t>
      </w:r>
    </w:p>
    <w:p w14:paraId="69FE674F" w14:textId="1F9B2D6F" w:rsidR="00170A2C" w:rsidRDefault="00170A2C" w:rsidP="00170A2C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Ref46068164"/>
      <w:r w:rsidRPr="00170A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Заключение Договора</w:t>
      </w:r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Договор может быть заключен путем обмена Сторонами по электронной почте экземплярами Договора, подписанными в одностороннем порядке.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</w:t>
      </w:r>
      <w:proofErr w:type="spellStart"/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>DocuSign</w:t>
      </w:r>
      <w:proofErr w:type="spellEnd"/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</w:t>
      </w:r>
      <w:bookmarkEnd w:id="12"/>
      <w:r w:rsidR="008D01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010E" w:rsidRPr="008D010E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обязуются не предоставлять доступ (в том числе пароли) к электронной почте и сервисам электронной подписи неуполномоченным лицам.</w:t>
      </w:r>
    </w:p>
    <w:p w14:paraId="6AEB34FF" w14:textId="270F0F14" w:rsidR="00170A2C" w:rsidRPr="00170A2C" w:rsidRDefault="00170A2C" w:rsidP="00170A2C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A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Недействительность отдельных положений</w:t>
      </w:r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какого</w:t>
      </w:r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>-либо положени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недействительным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70A2C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повлечет за собой недействительности остальных его положений. Стороны Договора обязуются приложить все усилия для того, чтобы положение Договора, признанное недействительным, было заменено таким действительным положением, которое являлось бы наиболее близким с экономической точки зрения к положению, признанному недействительным.</w:t>
      </w:r>
    </w:p>
    <w:p w14:paraId="315F9B15" w14:textId="77777777" w:rsidR="005B1567" w:rsidRDefault="005B1567" w:rsidP="00947B46">
      <w:pPr>
        <w:numPr>
          <w:ilvl w:val="0"/>
          <w:numId w:val="3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Приложения являются неотъемлемой частью Договора.</w:t>
      </w:r>
    </w:p>
    <w:p w14:paraId="3BCD4C73" w14:textId="77777777" w:rsidR="005B1567" w:rsidRDefault="005B1567" w:rsidP="008867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9CBF09" w14:textId="0E685B13" w:rsidR="00086018" w:rsidRDefault="005B1567" w:rsidP="00886769">
      <w:pPr>
        <w:spacing w:after="240"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страница с подписями</w:t>
      </w:r>
      <w:r w:rsidR="00EE605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сторон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следует 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 w:rsidR="0088676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4BB1CBA4" w14:textId="022B710D" w:rsidR="00086018" w:rsidRDefault="00086018" w:rsidP="00277039">
      <w:pPr>
        <w:spacing w:after="24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86018" w:rsidSect="00F12523">
          <w:footerReference w:type="even" r:id="rId11"/>
          <w:footerReference w:type="default" r:id="rId12"/>
          <w:footerReference w:type="first" r:id="rId13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299"/>
        </w:sectPr>
      </w:pPr>
    </w:p>
    <w:p w14:paraId="1EAC825B" w14:textId="6DF51C54" w:rsidR="00E55F13" w:rsidRPr="00E55F13" w:rsidRDefault="00086018" w:rsidP="00E55F13">
      <w:pPr>
        <w:spacing w:after="200" w:line="24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lastRenderedPageBreak/>
        <w:t xml:space="preserve">Приложение </w:t>
      </w:r>
      <w:r w:rsidR="00E55F13" w:rsidRPr="00E55F13">
        <w:rPr>
          <w:rFonts w:ascii="Arial" w:eastAsia="Times New Roman" w:hAnsi="Arial" w:cs="Arial"/>
          <w:b/>
          <w:color w:val="000000"/>
        </w:rPr>
        <w:t xml:space="preserve">1. Уровень вовлеченности </w:t>
      </w:r>
      <w:r w:rsidR="00CE55CE">
        <w:rPr>
          <w:rFonts w:ascii="Arial" w:eastAsia="Times New Roman" w:hAnsi="Arial" w:cs="Arial"/>
          <w:b/>
          <w:color w:val="000000"/>
        </w:rPr>
        <w:t>Консультанта</w:t>
      </w:r>
    </w:p>
    <w:tbl>
      <w:tblPr>
        <w:tblStyle w:val="a9"/>
        <w:tblW w:w="1460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68"/>
        <w:gridCol w:w="6096"/>
        <w:gridCol w:w="5670"/>
      </w:tblGrid>
      <w:tr w:rsidR="00086018" w:rsidRPr="00E55F13" w14:paraId="56FDAA6B" w14:textId="77777777" w:rsidTr="00086018">
        <w:tc>
          <w:tcPr>
            <w:tcW w:w="567" w:type="dxa"/>
          </w:tcPr>
          <w:p w14:paraId="5C798AC6" w14:textId="2BFFE2D3" w:rsidR="005D5FB0" w:rsidRPr="00E55F13" w:rsidRDefault="005D5FB0" w:rsidP="00E55F1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</w:tcPr>
          <w:p w14:paraId="083FF9BD" w14:textId="5E4A1E4E" w:rsidR="005D5FB0" w:rsidRPr="00E55F13" w:rsidRDefault="005D5FB0" w:rsidP="005D5FB0">
            <w:pPr>
              <w:spacing w:before="120" w:after="12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096" w:type="dxa"/>
          </w:tcPr>
          <w:p w14:paraId="4BF30379" w14:textId="65DA7178" w:rsidR="005D5FB0" w:rsidRPr="00E55F13" w:rsidRDefault="005D5FB0" w:rsidP="00E55F1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F13">
              <w:rPr>
                <w:rFonts w:ascii="Arial" w:eastAsia="Times New Roman" w:hAnsi="Arial" w:cs="Arial"/>
                <w:b/>
                <w:bCs/>
                <w:color w:val="000000"/>
              </w:rPr>
              <w:t>Уровень</w:t>
            </w:r>
          </w:p>
        </w:tc>
        <w:tc>
          <w:tcPr>
            <w:tcW w:w="5670" w:type="dxa"/>
          </w:tcPr>
          <w:p w14:paraId="44D914BF" w14:textId="28560E44" w:rsidR="005D5FB0" w:rsidRPr="00E55F13" w:rsidRDefault="005D5FB0" w:rsidP="00E55F1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F13">
              <w:rPr>
                <w:rFonts w:ascii="Arial" w:eastAsia="Times New Roman" w:hAnsi="Arial" w:cs="Arial"/>
                <w:b/>
                <w:bCs/>
                <w:color w:val="000000"/>
              </w:rPr>
              <w:t>Услуги</w:t>
            </w:r>
          </w:p>
        </w:tc>
      </w:tr>
      <w:tr w:rsidR="00086018" w:rsidRPr="00E55F13" w14:paraId="37F29AD7" w14:textId="77777777" w:rsidTr="00086018">
        <w:tc>
          <w:tcPr>
            <w:tcW w:w="567" w:type="dxa"/>
          </w:tcPr>
          <w:p w14:paraId="1736B065" w14:textId="55243B2D" w:rsidR="00086018" w:rsidRPr="00E55F13" w:rsidRDefault="00086018" w:rsidP="00E55F1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086018">
              <w:rPr>
                <w:rFonts w:ascii="Arial" w:eastAsia="Times New Roman" w:hAnsi="Arial" w:cs="Arial"/>
                <w:color w:val="000000"/>
                <w:sz w:val="32"/>
                <w:szCs w:val="32"/>
                <w:lang w:val="en-US"/>
              </w:rPr>
              <w:sym w:font="Wingdings" w:char="F0A8"/>
            </w:r>
          </w:p>
        </w:tc>
        <w:tc>
          <w:tcPr>
            <w:tcW w:w="2268" w:type="dxa"/>
          </w:tcPr>
          <w:p w14:paraId="0D84ED07" w14:textId="654BBD41" w:rsidR="005D5FB0" w:rsidRPr="00E55F13" w:rsidRDefault="00E55F13" w:rsidP="005D5FB0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F13">
              <w:rPr>
                <w:rFonts w:ascii="Arial" w:eastAsia="Times New Roman" w:hAnsi="Arial" w:cs="Arial"/>
                <w:b/>
                <w:bCs/>
                <w:color w:val="000000"/>
              </w:rPr>
              <w:t>Стандартный</w:t>
            </w:r>
          </w:p>
        </w:tc>
        <w:tc>
          <w:tcPr>
            <w:tcW w:w="6096" w:type="dxa"/>
          </w:tcPr>
          <w:p w14:paraId="4C3F5AD3" w14:textId="696F5E4E" w:rsidR="00E55F13" w:rsidRPr="00E55F13" w:rsidRDefault="00E55F13" w:rsidP="00E55F13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Время</w:t>
            </w:r>
            <w:r w:rsidRPr="00E55F13">
              <w:rPr>
                <w:rFonts w:ascii="Arial" w:eastAsia="Times New Roman" w:hAnsi="Arial" w:cs="Arial"/>
                <w:color w:val="000000"/>
              </w:rPr>
              <w:t>: 5 часов</w:t>
            </w:r>
            <w:r w:rsidR="00086018">
              <w:rPr>
                <w:rFonts w:ascii="Arial" w:eastAsia="Times New Roman" w:hAnsi="Arial" w:cs="Arial"/>
                <w:color w:val="000000"/>
              </w:rPr>
              <w:t xml:space="preserve"> в месяц</w:t>
            </w:r>
            <w:r w:rsidRPr="00E55F13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58C2B3E" w14:textId="0BCF8D35" w:rsidR="00E55F13" w:rsidRPr="00E55F13" w:rsidRDefault="0057005C" w:rsidP="00E55F13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57005C">
              <w:rPr>
                <w:rFonts w:ascii="Arial" w:eastAsia="Times New Roman" w:hAnsi="Arial" w:cs="Arial"/>
                <w:color w:val="000000"/>
                <w:u w:val="single"/>
              </w:rPr>
              <w:t>Встречи</w:t>
            </w:r>
            <w:r w:rsidR="00E55F13" w:rsidRPr="00E55F13">
              <w:rPr>
                <w:rFonts w:ascii="Arial" w:eastAsia="Times New Roman" w:hAnsi="Arial" w:cs="Arial"/>
                <w:color w:val="000000"/>
              </w:rPr>
              <w:t>: Посещение ежеквартальных стратегических и иных запланированных встреч Общества.</w:t>
            </w:r>
          </w:p>
          <w:p w14:paraId="5C7FAC34" w14:textId="0D3E6D70" w:rsidR="005D5FB0" w:rsidRPr="00E55F13" w:rsidRDefault="00FB3C53" w:rsidP="00E55F13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u w:val="single"/>
              </w:rPr>
              <w:t>Реагирование</w:t>
            </w:r>
            <w:r w:rsidR="00E55F13" w:rsidRPr="00E55F13">
              <w:rPr>
                <w:rFonts w:ascii="Arial" w:eastAsia="Times New Roman" w:hAnsi="Arial" w:cs="Arial"/>
                <w:color w:val="000000"/>
              </w:rPr>
              <w:t>: Предоставление ответа в разумное время на электронные письма Общества.</w:t>
            </w:r>
          </w:p>
        </w:tc>
        <w:tc>
          <w:tcPr>
            <w:tcW w:w="5670" w:type="dxa"/>
          </w:tcPr>
          <w:p w14:paraId="28FE1EDC" w14:textId="2F3936FA" w:rsidR="005D5FB0" w:rsidRPr="00E55F13" w:rsidRDefault="00E55F13" w:rsidP="00E55F13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Продвижение</w:t>
            </w:r>
            <w:proofErr w:type="gramStart"/>
            <w:r w:rsidRPr="00E55F13">
              <w:rPr>
                <w:rFonts w:ascii="Arial" w:eastAsia="Times New Roman" w:hAnsi="Arial" w:cs="Arial"/>
                <w:color w:val="000000"/>
              </w:rPr>
              <w:t>: Кроме</w:t>
            </w:r>
            <w:proofErr w:type="gramEnd"/>
            <w:r w:rsidRPr="00E55F13">
              <w:rPr>
                <w:rFonts w:ascii="Arial" w:eastAsia="Times New Roman" w:hAnsi="Arial" w:cs="Arial"/>
                <w:color w:val="000000"/>
              </w:rPr>
              <w:t xml:space="preserve"> регулярных рекомендаций и идей, Консультант будет активно продвигать и представлять Общество от его имени через общую сеть деловых контактов Консультанта, в том числе направлять бизнес-план Общества и другие материалы по запросу.</w:t>
            </w:r>
          </w:p>
        </w:tc>
      </w:tr>
      <w:tr w:rsidR="00086018" w:rsidRPr="00E55F13" w14:paraId="2E233C38" w14:textId="77777777" w:rsidTr="00086018">
        <w:tc>
          <w:tcPr>
            <w:tcW w:w="567" w:type="dxa"/>
          </w:tcPr>
          <w:p w14:paraId="00C5A66F" w14:textId="5F1ABF31" w:rsidR="00086018" w:rsidRPr="00E55F13" w:rsidRDefault="00086018" w:rsidP="00086018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1AB7">
              <w:rPr>
                <w:rFonts w:ascii="Arial" w:eastAsia="Times New Roman" w:hAnsi="Arial" w:cs="Arial"/>
                <w:color w:val="000000"/>
                <w:sz w:val="32"/>
                <w:szCs w:val="32"/>
                <w:lang w:val="en-US"/>
              </w:rPr>
              <w:sym w:font="Wingdings" w:char="F0A8"/>
            </w:r>
          </w:p>
        </w:tc>
        <w:tc>
          <w:tcPr>
            <w:tcW w:w="2268" w:type="dxa"/>
          </w:tcPr>
          <w:p w14:paraId="0B5C7815" w14:textId="5EF11662" w:rsidR="00086018" w:rsidRPr="00E55F13" w:rsidRDefault="00086018" w:rsidP="00086018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F13">
              <w:rPr>
                <w:rFonts w:ascii="Arial" w:eastAsia="Times New Roman" w:hAnsi="Arial" w:cs="Arial"/>
                <w:b/>
                <w:bCs/>
                <w:color w:val="000000"/>
              </w:rPr>
              <w:t>Стратегический</w:t>
            </w:r>
          </w:p>
        </w:tc>
        <w:tc>
          <w:tcPr>
            <w:tcW w:w="6096" w:type="dxa"/>
          </w:tcPr>
          <w:p w14:paraId="7EF9B07C" w14:textId="0428B880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Время</w:t>
            </w:r>
            <w:r w:rsidRPr="00E55F13">
              <w:rPr>
                <w:rFonts w:ascii="Arial" w:eastAsia="Times New Roman" w:hAnsi="Arial" w:cs="Arial"/>
                <w:color w:val="000000"/>
              </w:rPr>
              <w:t>: 10 часов</w:t>
            </w:r>
            <w:r>
              <w:rPr>
                <w:rFonts w:ascii="Arial" w:eastAsia="Times New Roman" w:hAnsi="Arial" w:cs="Arial"/>
                <w:color w:val="000000"/>
              </w:rPr>
              <w:t xml:space="preserve"> в месяц</w:t>
            </w:r>
            <w:r w:rsidRPr="00E55F13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BF47C8F" w14:textId="6D0EEAA5" w:rsidR="00086018" w:rsidRPr="00E55F13" w:rsidRDefault="0057005C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57005C">
              <w:rPr>
                <w:rFonts w:ascii="Arial" w:eastAsia="Times New Roman" w:hAnsi="Arial" w:cs="Arial"/>
                <w:color w:val="000000"/>
                <w:u w:val="single"/>
              </w:rPr>
              <w:t>Встречи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>: Посещение ежеквартальных стратегических и иных запланированных встреч Общества и, по крайней мере, одной встречи с потенциальным клиентом, инвестором, стратегическим партнером, продавцом или сотрудником.</w:t>
            </w:r>
          </w:p>
          <w:p w14:paraId="712AF76E" w14:textId="0E303FAE" w:rsidR="00086018" w:rsidRPr="00E55F13" w:rsidRDefault="00FB3C53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u w:val="single"/>
              </w:rPr>
              <w:t>Реагирование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>: Предоставление ответа в разумное время на электронные письма Общества и других лиц, связанных с ним.</w:t>
            </w:r>
          </w:p>
        </w:tc>
        <w:tc>
          <w:tcPr>
            <w:tcW w:w="5670" w:type="dxa"/>
          </w:tcPr>
          <w:p w14:paraId="1F39C6F7" w14:textId="66B2D50D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F13">
              <w:rPr>
                <w:rFonts w:ascii="Arial" w:eastAsia="Times New Roman" w:hAnsi="Arial" w:cs="Arial"/>
                <w:i/>
                <w:iCs/>
                <w:color w:val="000000"/>
              </w:rPr>
              <w:t>Дополнительно к стандартному уровню вовлеченности</w:t>
            </w:r>
          </w:p>
          <w:p w14:paraId="18632230" w14:textId="57D3ADA8" w:rsidR="00086018" w:rsidRPr="00E55F13" w:rsidRDefault="00FB3C53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u w:val="single"/>
              </w:rPr>
              <w:t>Найм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>: Консультант будет помогать Обществу в поиске дополнительных, потенциальных сотрудников и членов команды-основателя через общую сеть деловых контактов Консультанта.</w:t>
            </w:r>
          </w:p>
        </w:tc>
      </w:tr>
      <w:tr w:rsidR="00086018" w:rsidRPr="00E55F13" w14:paraId="2226FEDF" w14:textId="77777777" w:rsidTr="00086018">
        <w:tc>
          <w:tcPr>
            <w:tcW w:w="567" w:type="dxa"/>
          </w:tcPr>
          <w:p w14:paraId="2FFB037A" w14:textId="5F172E7A" w:rsidR="00086018" w:rsidRPr="00E55F13" w:rsidRDefault="00086018" w:rsidP="00086018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D1AB7">
              <w:rPr>
                <w:rFonts w:ascii="Arial" w:eastAsia="Times New Roman" w:hAnsi="Arial" w:cs="Arial"/>
                <w:color w:val="000000"/>
                <w:sz w:val="32"/>
                <w:szCs w:val="32"/>
                <w:lang w:val="en-US"/>
              </w:rPr>
              <w:sym w:font="Wingdings" w:char="F0A8"/>
            </w:r>
          </w:p>
        </w:tc>
        <w:tc>
          <w:tcPr>
            <w:tcW w:w="2268" w:type="dxa"/>
          </w:tcPr>
          <w:p w14:paraId="7FEAC51E" w14:textId="20243587" w:rsidR="00086018" w:rsidRPr="00E55F13" w:rsidRDefault="00086018" w:rsidP="00086018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55F13">
              <w:rPr>
                <w:rFonts w:ascii="Arial" w:eastAsia="Times New Roman" w:hAnsi="Arial" w:cs="Arial"/>
                <w:b/>
                <w:bCs/>
                <w:color w:val="000000"/>
              </w:rPr>
              <w:t>Экспертный</w:t>
            </w:r>
          </w:p>
        </w:tc>
        <w:tc>
          <w:tcPr>
            <w:tcW w:w="6096" w:type="dxa"/>
          </w:tcPr>
          <w:p w14:paraId="756704A3" w14:textId="4F75EC89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Время</w:t>
            </w:r>
            <w:r w:rsidRPr="00E55F13">
              <w:rPr>
                <w:rFonts w:ascii="Arial" w:eastAsia="Times New Roman" w:hAnsi="Arial" w:cs="Arial"/>
                <w:color w:val="000000"/>
              </w:rPr>
              <w:t>: 20 часов</w:t>
            </w:r>
            <w:r>
              <w:rPr>
                <w:rFonts w:ascii="Arial" w:eastAsia="Times New Roman" w:hAnsi="Arial" w:cs="Arial"/>
                <w:color w:val="000000"/>
              </w:rPr>
              <w:t xml:space="preserve"> в месяц</w:t>
            </w:r>
            <w:r w:rsidRPr="00E55F13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0C29CB8B" w14:textId="4B0E66DC" w:rsidR="00086018" w:rsidRPr="00E55F13" w:rsidRDefault="0057005C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57005C">
              <w:rPr>
                <w:rFonts w:ascii="Arial" w:eastAsia="Times New Roman" w:hAnsi="Arial" w:cs="Arial"/>
                <w:color w:val="000000"/>
                <w:u w:val="single"/>
              </w:rPr>
              <w:t>Встречи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>: Посещение ежеквартальных стратегических и иных запланированных встреч Общества, внутренние встречи, связанные с проектом, и встречи с потенциальными клиентами, инвесторами, стратегическими партнерами, поставщиками или сотрудниками.</w:t>
            </w:r>
          </w:p>
          <w:p w14:paraId="18C9ED57" w14:textId="7DAF2EFA" w:rsidR="00086018" w:rsidRPr="00E55F13" w:rsidRDefault="00FB3C53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u w:val="single"/>
              </w:rPr>
              <w:t>Реагирование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 xml:space="preserve">: Предоставление </w:t>
            </w:r>
            <w:r w:rsidR="00643F9E">
              <w:rPr>
                <w:rFonts w:ascii="Arial" w:eastAsia="Times New Roman" w:hAnsi="Arial" w:cs="Arial"/>
                <w:color w:val="000000"/>
              </w:rPr>
              <w:t xml:space="preserve">оперативных </w:t>
            </w:r>
            <w:r w:rsidR="00086018" w:rsidRPr="00E55F13">
              <w:rPr>
                <w:rFonts w:ascii="Arial" w:eastAsia="Times New Roman" w:hAnsi="Arial" w:cs="Arial"/>
                <w:color w:val="000000"/>
              </w:rPr>
              <w:t xml:space="preserve">ответов на электронные письма и телефонные звонки от Общества и других лиц, связанных с ним. </w:t>
            </w:r>
          </w:p>
        </w:tc>
        <w:tc>
          <w:tcPr>
            <w:tcW w:w="5670" w:type="dxa"/>
          </w:tcPr>
          <w:p w14:paraId="3EE060AD" w14:textId="2B263DE9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E55F13">
              <w:rPr>
                <w:rFonts w:ascii="Arial" w:eastAsia="Times New Roman" w:hAnsi="Arial" w:cs="Arial"/>
                <w:i/>
                <w:iCs/>
                <w:color w:val="000000"/>
              </w:rPr>
              <w:t>Дополнительно к стратегическому уровню вовлеченности</w:t>
            </w:r>
          </w:p>
          <w:p w14:paraId="6E6DC066" w14:textId="3B93502C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Контакты</w:t>
            </w:r>
            <w:r w:rsidRPr="00E55F13">
              <w:rPr>
                <w:rFonts w:ascii="Arial" w:eastAsia="Times New Roman" w:hAnsi="Arial" w:cs="Arial"/>
                <w:color w:val="000000"/>
              </w:rPr>
              <w:t>: Консультант соглашается представлять</w:t>
            </w:r>
            <w:r w:rsidR="00663AD4">
              <w:rPr>
                <w:rFonts w:ascii="Arial" w:eastAsia="Times New Roman" w:hAnsi="Arial" w:cs="Arial"/>
                <w:color w:val="000000"/>
              </w:rPr>
              <w:t xml:space="preserve"> Общество</w:t>
            </w:r>
            <w:r w:rsidRPr="00E55F13">
              <w:rPr>
                <w:rFonts w:ascii="Arial" w:eastAsia="Times New Roman" w:hAnsi="Arial" w:cs="Arial"/>
                <w:color w:val="000000"/>
              </w:rPr>
              <w:t xml:space="preserve"> и помогать</w:t>
            </w:r>
            <w:r w:rsidR="00663AD4">
              <w:rPr>
                <w:rFonts w:ascii="Arial" w:eastAsia="Times New Roman" w:hAnsi="Arial" w:cs="Arial"/>
                <w:color w:val="000000"/>
              </w:rPr>
              <w:t xml:space="preserve"> ему</w:t>
            </w:r>
            <w:r w:rsidRPr="00E55F13">
              <w:rPr>
                <w:rFonts w:ascii="Arial" w:eastAsia="Times New Roman" w:hAnsi="Arial" w:cs="Arial"/>
                <w:color w:val="000000"/>
              </w:rPr>
              <w:t xml:space="preserve"> в приобретении потенциальных клиентов, стратегических партнеров и ключевых отраслевых контактов, а также посещать встречи с такими потенциальными клиентами, партнерами и ключевыми контактами.</w:t>
            </w:r>
          </w:p>
          <w:p w14:paraId="15A2D08A" w14:textId="2C9559B9" w:rsidR="00086018" w:rsidRPr="00E55F13" w:rsidRDefault="00086018" w:rsidP="00086018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E55F13">
              <w:rPr>
                <w:rFonts w:ascii="Arial" w:eastAsia="Times New Roman" w:hAnsi="Arial" w:cs="Arial"/>
                <w:color w:val="000000"/>
                <w:u w:val="single"/>
              </w:rPr>
              <w:t>Проекты</w:t>
            </w:r>
            <w:r w:rsidRPr="00E55F13">
              <w:rPr>
                <w:rFonts w:ascii="Arial" w:eastAsia="Times New Roman" w:hAnsi="Arial" w:cs="Arial"/>
                <w:color w:val="000000"/>
              </w:rPr>
              <w:t xml:space="preserve">: Консультант соглашается помочь Обществу по крайней мере в одном стратегическом проекте, как того требует Общество в течение срока действия настоящего </w:t>
            </w:r>
            <w:r w:rsidR="00663AD4">
              <w:rPr>
                <w:rFonts w:ascii="Arial" w:eastAsia="Times New Roman" w:hAnsi="Arial" w:cs="Arial"/>
                <w:color w:val="000000"/>
              </w:rPr>
              <w:t>Договора</w:t>
            </w:r>
            <w:r w:rsidRPr="00E55F13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</w:tbl>
    <w:p w14:paraId="7494A7C0" w14:textId="77777777" w:rsidR="00086018" w:rsidRDefault="00086018" w:rsidP="00086018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86018" w:rsidSect="003C4EA2">
          <w:headerReference w:type="default" r:id="rId14"/>
          <w:footerReference w:type="default" r:id="rId15"/>
          <w:pgSz w:w="16838" w:h="11906" w:orient="landscape"/>
          <w:pgMar w:top="1701" w:right="1134" w:bottom="850" w:left="1134" w:header="708" w:footer="708" w:gutter="0"/>
          <w:cols w:space="720"/>
          <w:docGrid w:linePitch="299"/>
        </w:sectPr>
      </w:pPr>
    </w:p>
    <w:p w14:paraId="62A09FDB" w14:textId="49BFAF8D" w:rsidR="00086018" w:rsidRDefault="00086018" w:rsidP="003B55BB">
      <w:pPr>
        <w:spacing w:after="200" w:line="24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lastRenderedPageBreak/>
        <w:t>Приложение 2</w:t>
      </w:r>
      <w:r w:rsidRPr="00E55F13">
        <w:rPr>
          <w:rFonts w:ascii="Arial" w:eastAsia="Times New Roman" w:hAnsi="Arial" w:cs="Arial"/>
          <w:b/>
          <w:color w:val="000000"/>
        </w:rPr>
        <w:t xml:space="preserve">. </w:t>
      </w:r>
      <w:r w:rsidR="003B55BB">
        <w:rPr>
          <w:rFonts w:ascii="Arial" w:eastAsia="Times New Roman" w:hAnsi="Arial" w:cs="Arial"/>
          <w:b/>
          <w:color w:val="000000"/>
        </w:rPr>
        <w:t>Стадии развития Общества</w:t>
      </w:r>
    </w:p>
    <w:tbl>
      <w:tblPr>
        <w:tblStyle w:val="10"/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796"/>
      </w:tblGrid>
      <w:tr w:rsidR="00086018" w:rsidRPr="00397022" w14:paraId="2DA4D4F0" w14:textId="77777777" w:rsidTr="00643F9E"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30735" w14:textId="77777777" w:rsidR="00086018" w:rsidRPr="00397022" w:rsidRDefault="00086018" w:rsidP="00086018">
            <w:pPr>
              <w:spacing w:before="120" w:after="120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b/>
              </w:rPr>
              <w:t>Стадия</w:t>
            </w:r>
          </w:p>
        </w:tc>
        <w:tc>
          <w:tcPr>
            <w:tcW w:w="7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4ED4" w14:textId="56B22389" w:rsidR="00086018" w:rsidRPr="00397022" w:rsidRDefault="00086018" w:rsidP="00086018">
            <w:pPr>
              <w:spacing w:before="120" w:after="120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b/>
              </w:rPr>
              <w:t>Описание</w:t>
            </w:r>
          </w:p>
        </w:tc>
      </w:tr>
      <w:tr w:rsidR="00086018" w:rsidRPr="00397022" w14:paraId="18721722" w14:textId="77777777" w:rsidTr="00643F9E">
        <w:trPr>
          <w:trHeight w:val="2167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9BE53" w14:textId="77777777" w:rsidR="00086018" w:rsidRPr="00397022" w:rsidRDefault="00086018" w:rsidP="00E57AE0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397022">
              <w:rPr>
                <w:rFonts w:ascii="Arial" w:eastAsia="Arial" w:hAnsi="Arial" w:cs="Arial"/>
                <w:b/>
              </w:rPr>
              <w:t>Идея</w:t>
            </w:r>
          </w:p>
        </w:tc>
        <w:tc>
          <w:tcPr>
            <w:tcW w:w="7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4666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Команда</w:t>
            </w:r>
            <w:r w:rsidRPr="00397022">
              <w:rPr>
                <w:rFonts w:ascii="Arial" w:eastAsia="Arial" w:hAnsi="Arial" w:cs="Arial"/>
              </w:rPr>
              <w:t xml:space="preserve">: Команда состоит только из основателей с частичной занятостью. </w:t>
            </w:r>
          </w:p>
          <w:p w14:paraId="3134A580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Клиенты</w:t>
            </w:r>
            <w:r w:rsidRPr="00397022">
              <w:rPr>
                <w:rFonts w:ascii="Arial" w:eastAsia="Arial" w:hAnsi="Arial" w:cs="Arial"/>
              </w:rPr>
              <w:t xml:space="preserve">: Общество ведет переговоры с потенциальными клиентами, чтобы определить спрос на рынке. Структура ценообразования / выручки разработана, но нуждается в проверке рынка. </w:t>
            </w:r>
          </w:p>
          <w:p w14:paraId="4BBDEF4C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Прибыль</w:t>
            </w:r>
            <w:r w:rsidRPr="00397022">
              <w:rPr>
                <w:rFonts w:ascii="Arial" w:eastAsia="Arial" w:hAnsi="Arial" w:cs="Arial"/>
              </w:rPr>
              <w:t xml:space="preserve">: Общество не имеет выручки. </w:t>
            </w:r>
          </w:p>
          <w:p w14:paraId="5092219B" w14:textId="1E1029A0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Инвесторы</w:t>
            </w:r>
            <w:proofErr w:type="gramStart"/>
            <w:r w:rsidRPr="00397022">
              <w:rPr>
                <w:rFonts w:ascii="Arial" w:eastAsia="Arial" w:hAnsi="Arial" w:cs="Arial"/>
              </w:rPr>
              <w:t>:</w:t>
            </w:r>
            <w:r w:rsidR="00077821">
              <w:rPr>
                <w:rFonts w:ascii="Arial" w:eastAsia="Arial" w:hAnsi="Arial" w:cs="Arial"/>
              </w:rPr>
              <w:t xml:space="preserve"> </w:t>
            </w:r>
            <w:r w:rsidRPr="00397022">
              <w:rPr>
                <w:rFonts w:ascii="Arial" w:eastAsia="Arial" w:hAnsi="Arial" w:cs="Arial"/>
              </w:rPr>
              <w:t>По крайней мере</w:t>
            </w:r>
            <w:proofErr w:type="gramEnd"/>
            <w:r w:rsidR="00077821">
              <w:rPr>
                <w:rFonts w:ascii="Arial" w:eastAsia="Arial" w:hAnsi="Arial" w:cs="Arial"/>
              </w:rPr>
              <w:t xml:space="preserve"> </w:t>
            </w:r>
            <w:r w:rsidRPr="00397022">
              <w:rPr>
                <w:rFonts w:ascii="Arial" w:eastAsia="Arial" w:hAnsi="Arial" w:cs="Arial"/>
              </w:rPr>
              <w:t xml:space="preserve">одна группа, состоящая из основателя(ей), </w:t>
            </w:r>
            <w:r w:rsidR="00E57AE0">
              <w:rPr>
                <w:rFonts w:ascii="Arial" w:eastAsia="Arial" w:hAnsi="Arial" w:cs="Arial"/>
              </w:rPr>
              <w:t>его (</w:t>
            </w:r>
            <w:r w:rsidRPr="00397022">
              <w:rPr>
                <w:rFonts w:ascii="Arial" w:eastAsia="Arial" w:hAnsi="Arial" w:cs="Arial"/>
              </w:rPr>
              <w:t>их</w:t>
            </w:r>
            <w:r w:rsidR="00E57AE0">
              <w:rPr>
                <w:rFonts w:ascii="Arial" w:eastAsia="Arial" w:hAnsi="Arial" w:cs="Arial"/>
              </w:rPr>
              <w:t>)</w:t>
            </w:r>
            <w:r w:rsidRPr="00397022">
              <w:rPr>
                <w:rFonts w:ascii="Arial" w:eastAsia="Arial" w:hAnsi="Arial" w:cs="Arial"/>
              </w:rPr>
              <w:t xml:space="preserve"> друзей или семьи</w:t>
            </w:r>
            <w:r w:rsidR="00E57AE0">
              <w:rPr>
                <w:rFonts w:ascii="Arial" w:eastAsia="Arial" w:hAnsi="Arial" w:cs="Arial"/>
              </w:rPr>
              <w:t>(ей)</w:t>
            </w:r>
            <w:r w:rsidRPr="00397022">
              <w:rPr>
                <w:rFonts w:ascii="Arial" w:eastAsia="Arial" w:hAnsi="Arial" w:cs="Arial"/>
              </w:rPr>
              <w:t xml:space="preserve"> инвестировали.</w:t>
            </w:r>
          </w:p>
          <w:p w14:paraId="11201FD6" w14:textId="789FD828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Продукт</w:t>
            </w:r>
            <w:r w:rsidRPr="00397022">
              <w:rPr>
                <w:rFonts w:ascii="Arial" w:eastAsia="Arial" w:hAnsi="Arial" w:cs="Arial"/>
              </w:rPr>
              <w:t>: Спецификации для минимально жизнеспособного продукта, включая каркасы и системные конструкции, планы.</w:t>
            </w:r>
          </w:p>
        </w:tc>
      </w:tr>
      <w:tr w:rsidR="00086018" w:rsidRPr="00397022" w14:paraId="79039928" w14:textId="77777777" w:rsidTr="00643F9E">
        <w:trPr>
          <w:trHeight w:val="2473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E2447" w14:textId="77777777" w:rsidR="00086018" w:rsidRPr="00397022" w:rsidRDefault="00086018" w:rsidP="00086018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397022">
              <w:rPr>
                <w:rFonts w:ascii="Arial" w:eastAsia="Arial" w:hAnsi="Arial" w:cs="Arial"/>
                <w:b/>
              </w:rPr>
              <w:t>Стартап</w:t>
            </w:r>
          </w:p>
        </w:tc>
        <w:tc>
          <w:tcPr>
            <w:tcW w:w="7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A916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Команда</w:t>
            </w:r>
            <w:r w:rsidRPr="00397022">
              <w:rPr>
                <w:rFonts w:ascii="Arial" w:eastAsia="Arial" w:hAnsi="Arial" w:cs="Arial"/>
              </w:rPr>
              <w:t>: Команда состоит из основателя(ей) на постоянной основе и в настоящее время принимает на работу первоначальных сотрудников по мере необходимости.</w:t>
            </w:r>
          </w:p>
          <w:p w14:paraId="5D4D7D0B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Клиенты</w:t>
            </w:r>
            <w:r w:rsidRPr="00397022">
              <w:rPr>
                <w:rFonts w:ascii="Arial" w:eastAsia="Arial" w:hAnsi="Arial" w:cs="Arial"/>
              </w:rPr>
              <w:t>: Компания получила письма о намерениях или обязательства перед клиентами, и потребность рынка была подтверждена.</w:t>
            </w:r>
          </w:p>
          <w:p w14:paraId="00C2F6DA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Прибыль</w:t>
            </w:r>
            <w:r w:rsidRPr="00397022">
              <w:rPr>
                <w:rFonts w:ascii="Arial" w:eastAsia="Arial" w:hAnsi="Arial" w:cs="Arial"/>
              </w:rPr>
              <w:t xml:space="preserve">: Общество уже может получать доход. </w:t>
            </w:r>
          </w:p>
          <w:p w14:paraId="5284B33B" w14:textId="3D924210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Инвесторы</w:t>
            </w:r>
            <w:r w:rsidRPr="00397022">
              <w:rPr>
                <w:rFonts w:ascii="Arial" w:eastAsia="Arial" w:hAnsi="Arial" w:cs="Arial"/>
              </w:rPr>
              <w:t>: Инвестиции могли быть привлечены через друзей / семью или профессиональных инвесторов (бизнес-ангел, венчурный капитал и т.</w:t>
            </w:r>
            <w:r w:rsidR="00753BA4">
              <w:rPr>
                <w:rFonts w:ascii="Arial" w:eastAsia="Arial" w:hAnsi="Arial" w:cs="Arial"/>
              </w:rPr>
              <w:t xml:space="preserve"> </w:t>
            </w:r>
            <w:r w:rsidRPr="00397022">
              <w:rPr>
                <w:rFonts w:ascii="Arial" w:eastAsia="Arial" w:hAnsi="Arial" w:cs="Arial"/>
              </w:rPr>
              <w:t xml:space="preserve">д.). </w:t>
            </w:r>
          </w:p>
          <w:p w14:paraId="47DCB474" w14:textId="2456E9A1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Продукт</w:t>
            </w:r>
            <w:r w:rsidRPr="00397022">
              <w:rPr>
                <w:rFonts w:ascii="Arial" w:eastAsia="Arial" w:hAnsi="Arial" w:cs="Arial"/>
              </w:rPr>
              <w:t xml:space="preserve">: Запуск минимально жизнеспособного продукта </w:t>
            </w:r>
            <w:r w:rsidR="00E57AE0">
              <w:rPr>
                <w:rFonts w:ascii="Arial" w:eastAsia="Arial" w:hAnsi="Arial" w:cs="Arial"/>
              </w:rPr>
              <w:t>планируется на горизонте в 6 месяцев</w:t>
            </w:r>
            <w:r w:rsidRPr="00397022">
              <w:rPr>
                <w:rFonts w:ascii="Arial" w:eastAsia="Arial" w:hAnsi="Arial" w:cs="Arial"/>
              </w:rPr>
              <w:t xml:space="preserve">. </w:t>
            </w:r>
          </w:p>
        </w:tc>
      </w:tr>
      <w:tr w:rsidR="00086018" w:rsidRPr="00397022" w14:paraId="56D40104" w14:textId="77777777" w:rsidTr="00643F9E">
        <w:trPr>
          <w:trHeight w:val="126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79DA0" w14:textId="77777777" w:rsidR="00086018" w:rsidRPr="00397022" w:rsidRDefault="00086018" w:rsidP="00086018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397022">
              <w:rPr>
                <w:rFonts w:ascii="Arial" w:eastAsia="Arial" w:hAnsi="Arial" w:cs="Arial"/>
                <w:b/>
              </w:rPr>
              <w:t>Рост</w:t>
            </w:r>
          </w:p>
        </w:tc>
        <w:tc>
          <w:tcPr>
            <w:tcW w:w="7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6D3FA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Команда</w:t>
            </w:r>
            <w:r w:rsidRPr="00397022">
              <w:rPr>
                <w:rFonts w:ascii="Arial" w:eastAsia="Arial" w:hAnsi="Arial" w:cs="Arial"/>
              </w:rPr>
              <w:t xml:space="preserve">: Команда состоит из основателя(ей) на постоянной основе и в настоящее время принимает на работу сотрудников по мере необходимости. </w:t>
            </w:r>
          </w:p>
          <w:p w14:paraId="7BFED0EB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  <w:u w:val="single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Клиенты</w:t>
            </w:r>
            <w:r w:rsidRPr="00397022">
              <w:rPr>
                <w:rFonts w:ascii="Arial" w:eastAsia="Arial" w:hAnsi="Arial" w:cs="Arial"/>
              </w:rPr>
              <w:t xml:space="preserve">: Компания достигла значительного роста и роста клиентской базы. </w:t>
            </w:r>
          </w:p>
          <w:p w14:paraId="79A1C2ED" w14:textId="77777777" w:rsidR="00086018" w:rsidRPr="00397022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Прибыль</w:t>
            </w:r>
            <w:r w:rsidRPr="00397022">
              <w:rPr>
                <w:rFonts w:ascii="Arial" w:eastAsia="Arial" w:hAnsi="Arial" w:cs="Arial"/>
              </w:rPr>
              <w:t xml:space="preserve">: Общество уже получает доход. </w:t>
            </w:r>
          </w:p>
          <w:p w14:paraId="6B83FCA0" w14:textId="77777777" w:rsidR="00104D56" w:rsidRDefault="00086018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 w:rsidRPr="00397022">
              <w:rPr>
                <w:rFonts w:ascii="Arial" w:eastAsia="Arial" w:hAnsi="Arial" w:cs="Arial"/>
                <w:u w:val="single"/>
              </w:rPr>
              <w:t>Инвесторы</w:t>
            </w:r>
            <w:r w:rsidRPr="00397022">
              <w:rPr>
                <w:rFonts w:ascii="Arial" w:eastAsia="Arial" w:hAnsi="Arial" w:cs="Arial"/>
              </w:rPr>
              <w:t>: Предварительные инвестиции могли быть привлечены, и учредители готовы предоставить профессиональных инвесторов, если потребуется дополнительный капитал.</w:t>
            </w:r>
          </w:p>
          <w:p w14:paraId="4DBFEC2B" w14:textId="1F4F911D" w:rsidR="00086018" w:rsidRPr="00397022" w:rsidRDefault="00104D56" w:rsidP="00086018">
            <w:pPr>
              <w:spacing w:before="120" w:after="12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/>
              </w:rPr>
              <w:t>Продукт</w:t>
            </w:r>
            <w:r w:rsidR="00086018" w:rsidRPr="00397022">
              <w:rPr>
                <w:rFonts w:ascii="Arial" w:eastAsia="Arial" w:hAnsi="Arial" w:cs="Arial"/>
              </w:rPr>
              <w:t>: Продукт был запущен и периодически дорабатывается на основе отзывов клиентов.</w:t>
            </w:r>
          </w:p>
        </w:tc>
      </w:tr>
    </w:tbl>
    <w:p w14:paraId="410FB491" w14:textId="7F60C746" w:rsidR="00EE6056" w:rsidRDefault="00EE6056" w:rsidP="00EE6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C9CB68" w14:textId="77777777" w:rsidR="00EE6056" w:rsidRDefault="00EE6056" w:rsidP="00EE6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8EEC14" w14:textId="77777777" w:rsidR="00EE6056" w:rsidRDefault="00EE6056" w:rsidP="00EE605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страница с подписями сторон следует 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</w:p>
    <w:p w14:paraId="4FC4F1C3" w14:textId="77777777" w:rsidR="00A02CE5" w:rsidRDefault="00DA7438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14:paraId="517B981C" w14:textId="77777777" w:rsidR="00A02CE5" w:rsidRDefault="00DA743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ПОДПИСИ СТОРОН </w:t>
      </w:r>
    </w:p>
    <w:p w14:paraId="0D8754F3" w14:textId="77777777" w:rsidR="00A02CE5" w:rsidRDefault="00A0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D29B89" w14:textId="77777777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КОНСУЛЬТАНТ</w:t>
      </w:r>
    </w:p>
    <w:p w14:paraId="79A5A584" w14:textId="56C8BB97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62CBB57B" w14:textId="16661C9D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ФИО: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20DEF062" w14:textId="3713665D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23B8933B" w14:textId="77777777" w:rsidR="00A02CE5" w:rsidRDefault="00A0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F4F7AD" w14:textId="77777777" w:rsidR="00A02CE5" w:rsidRDefault="00DA743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ОСНОВАТЕЛЬ 1</w:t>
      </w:r>
    </w:p>
    <w:p w14:paraId="22CE9F5C" w14:textId="7E4AC9FC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6BC45B78" w14:textId="5A19B166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ФИО: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05E9BE61" w14:textId="65D69B2A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73393573" w14:textId="77777777" w:rsidR="00A02CE5" w:rsidRDefault="00A02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C46F0A" w14:textId="77777777" w:rsidR="00A02CE5" w:rsidRDefault="00DA743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ОСНОВАТЕЛЬ 2</w:t>
      </w:r>
    </w:p>
    <w:p w14:paraId="2EE4D2FD" w14:textId="750B8328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1B7EED3C" w14:textId="61794D99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ФИО: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489D9413" w14:textId="5493A92A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6046886C" w14:textId="77777777" w:rsidR="00A02CE5" w:rsidRDefault="00A02CE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C8A2E" w14:textId="77777777" w:rsidR="00A02CE5" w:rsidRDefault="00DA7438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ОБЩЕСТВО</w:t>
      </w:r>
    </w:p>
    <w:p w14:paraId="697DAC3F" w14:textId="41E972E8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1545ED2B" w14:textId="351B155D" w:rsidR="00A02CE5" w:rsidRDefault="00DA7438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ФИО: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36A83CE6" w14:textId="6B0F6C1F" w:rsidR="00A02CE5" w:rsidRDefault="00DA7438" w:rsidP="005D5B43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Должность /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полномочия: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p w14:paraId="6F3518D2" w14:textId="1187AA77" w:rsidR="00A02CE5" w:rsidRDefault="00DA743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5B4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sectPr w:rsidR="00A02CE5" w:rsidSect="003C4EA2"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2B78A" w14:textId="77777777" w:rsidR="005717B5" w:rsidRDefault="005717B5">
      <w:pPr>
        <w:spacing w:after="0" w:line="240" w:lineRule="auto"/>
      </w:pPr>
      <w:r>
        <w:separator/>
      </w:r>
    </w:p>
  </w:endnote>
  <w:endnote w:type="continuationSeparator" w:id="0">
    <w:p w14:paraId="6C69F810" w14:textId="77777777" w:rsidR="005717B5" w:rsidRDefault="00571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3B53" w14:textId="77777777" w:rsidR="002132E6" w:rsidRDefault="00213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9AD976C" w14:textId="77777777" w:rsidR="002132E6" w:rsidRDefault="002132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6BF6" w14:textId="77777777" w:rsidR="00E146A8" w:rsidRDefault="00E146A8" w:rsidP="00E146A8">
    <w:pPr>
      <w:spacing w:after="0"/>
    </w:pPr>
  </w:p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0"/>
      <w:gridCol w:w="3020"/>
      <w:gridCol w:w="3021"/>
    </w:tblGrid>
    <w:tr w:rsidR="00E146A8" w14:paraId="19A9B765" w14:textId="77777777" w:rsidTr="00947B46">
      <w:tc>
        <w:tcPr>
          <w:tcW w:w="3020" w:type="dxa"/>
          <w:vAlign w:val="center"/>
        </w:tcPr>
        <w:p w14:paraId="6CF29DEC" w14:textId="77777777" w:rsidR="00E146A8" w:rsidRPr="00E146A8" w:rsidRDefault="005717B5" w:rsidP="00E146A8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color w:val="000000"/>
              <w:lang w:val="en-US"/>
            </w:rPr>
          </w:pPr>
          <w:hyperlink r:id="rId1" w:history="1">
            <w:r w:rsidR="00E146A8" w:rsidRPr="00E146A8">
              <w:rPr>
                <w:rStyle w:val="af6"/>
                <w:rFonts w:ascii="Arial" w:eastAsia="Times New Roman" w:hAnsi="Arial" w:cs="Arial"/>
                <w:sz w:val="18"/>
                <w:szCs w:val="18"/>
                <w:lang w:val="en-US"/>
              </w:rPr>
              <w:t>www.buzko.legal</w:t>
            </w:r>
          </w:hyperlink>
        </w:p>
      </w:tc>
      <w:tc>
        <w:tcPr>
          <w:tcW w:w="3020" w:type="dxa"/>
          <w:vAlign w:val="center"/>
        </w:tcPr>
        <w:p w14:paraId="32A1539B" w14:textId="77777777" w:rsidR="00E146A8" w:rsidRDefault="00E146A8" w:rsidP="00E146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>
            <w:rPr>
              <w:rFonts w:ascii="Times New Roman" w:eastAsia="Times New Roman" w:hAnsi="Times New Roman" w:cs="Times New Roman"/>
              <w:color w:val="000000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</w:p>
      </w:tc>
      <w:tc>
        <w:tcPr>
          <w:tcW w:w="3021" w:type="dxa"/>
          <w:vAlign w:val="center"/>
        </w:tcPr>
        <w:p w14:paraId="7211384C" w14:textId="77777777" w:rsidR="00E146A8" w:rsidRDefault="00E146A8" w:rsidP="00E146A8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</w:p>
      </w:tc>
    </w:tr>
  </w:tbl>
  <w:p w14:paraId="6AE5EDCB" w14:textId="2B322093" w:rsidR="002132E6" w:rsidRPr="00E146A8" w:rsidRDefault="002132E6" w:rsidP="00E146A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C103" w14:textId="77777777" w:rsidR="00E146A8" w:rsidRDefault="00E146A8" w:rsidP="00E146A8">
    <w:pPr>
      <w:spacing w:after="0"/>
    </w:pPr>
  </w:p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0"/>
      <w:gridCol w:w="3020"/>
      <w:gridCol w:w="3021"/>
    </w:tblGrid>
    <w:tr w:rsidR="00E146A8" w14:paraId="027EFC54" w14:textId="77777777" w:rsidTr="00E146A8">
      <w:tc>
        <w:tcPr>
          <w:tcW w:w="3020" w:type="dxa"/>
          <w:vAlign w:val="center"/>
        </w:tcPr>
        <w:p w14:paraId="42A78D1E" w14:textId="0FED1271" w:rsidR="00E146A8" w:rsidRPr="00E146A8" w:rsidRDefault="005717B5" w:rsidP="00E146A8">
          <w:pPr>
            <w:tabs>
              <w:tab w:val="center" w:pos="4677"/>
              <w:tab w:val="right" w:pos="9355"/>
            </w:tabs>
            <w:rPr>
              <w:rFonts w:ascii="Arial" w:eastAsia="Times New Roman" w:hAnsi="Arial" w:cs="Arial"/>
              <w:color w:val="000000"/>
              <w:lang w:val="en-US"/>
            </w:rPr>
          </w:pPr>
          <w:hyperlink r:id="rId1" w:history="1">
            <w:r w:rsidR="00E146A8" w:rsidRPr="00E146A8">
              <w:rPr>
                <w:rStyle w:val="af6"/>
                <w:rFonts w:ascii="Arial" w:eastAsia="Times New Roman" w:hAnsi="Arial" w:cs="Arial"/>
                <w:sz w:val="18"/>
                <w:szCs w:val="18"/>
                <w:lang w:val="en-US"/>
              </w:rPr>
              <w:t>www.buzko.legal</w:t>
            </w:r>
          </w:hyperlink>
        </w:p>
      </w:tc>
      <w:tc>
        <w:tcPr>
          <w:tcW w:w="3020" w:type="dxa"/>
          <w:vAlign w:val="center"/>
        </w:tcPr>
        <w:p w14:paraId="30DD860D" w14:textId="77CA6930" w:rsidR="00E146A8" w:rsidRDefault="00E146A8" w:rsidP="00E146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</w:p>
      </w:tc>
      <w:tc>
        <w:tcPr>
          <w:tcW w:w="3021" w:type="dxa"/>
          <w:vAlign w:val="center"/>
        </w:tcPr>
        <w:p w14:paraId="3D6C6582" w14:textId="77777777" w:rsidR="00E146A8" w:rsidRDefault="00E146A8" w:rsidP="00E146A8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</w:p>
      </w:tc>
    </w:tr>
  </w:tbl>
  <w:p w14:paraId="2C4500CF" w14:textId="77777777" w:rsidR="00E146A8" w:rsidRPr="003C4EA2" w:rsidRDefault="00E146A8" w:rsidP="00E146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8EF1" w14:textId="77777777" w:rsidR="002132E6" w:rsidRDefault="002132E6" w:rsidP="001B56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67F17483" w14:textId="77777777" w:rsidR="002132E6" w:rsidRPr="001B56F8" w:rsidRDefault="002132E6" w:rsidP="001B56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616C" w14:textId="77777777" w:rsidR="005717B5" w:rsidRDefault="005717B5">
      <w:pPr>
        <w:spacing w:after="0" w:line="240" w:lineRule="auto"/>
      </w:pPr>
      <w:r>
        <w:separator/>
      </w:r>
    </w:p>
  </w:footnote>
  <w:footnote w:type="continuationSeparator" w:id="0">
    <w:p w14:paraId="051B1242" w14:textId="77777777" w:rsidR="005717B5" w:rsidRDefault="005717B5">
      <w:pPr>
        <w:spacing w:after="0" w:line="240" w:lineRule="auto"/>
      </w:pPr>
      <w:r>
        <w:continuationSeparator/>
      </w:r>
    </w:p>
  </w:footnote>
  <w:footnote w:id="1">
    <w:p w14:paraId="715B3218" w14:textId="3090FA1D" w:rsidR="003245C9" w:rsidRPr="00F41889" w:rsidRDefault="003245C9" w:rsidP="003245C9">
      <w:pPr>
        <w:pStyle w:val="af3"/>
        <w:tabs>
          <w:tab w:val="left" w:pos="7288"/>
        </w:tabs>
        <w:rPr>
          <w:rFonts w:ascii="Arial" w:hAnsi="Arial" w:cs="Arial"/>
          <w:sz w:val="18"/>
          <w:szCs w:val="18"/>
        </w:rPr>
      </w:pPr>
      <w:r w:rsidRPr="00F41889">
        <w:rPr>
          <w:rStyle w:val="af5"/>
          <w:rFonts w:ascii="Arial" w:hAnsi="Arial" w:cs="Arial"/>
          <w:sz w:val="18"/>
          <w:szCs w:val="18"/>
        </w:rPr>
        <w:footnoteRef/>
      </w:r>
      <w:r w:rsidRPr="00F41889">
        <w:rPr>
          <w:rFonts w:ascii="Arial" w:hAnsi="Arial" w:cs="Arial"/>
          <w:sz w:val="18"/>
          <w:szCs w:val="18"/>
        </w:rPr>
        <w:t xml:space="preserve"> По форме </w:t>
      </w:r>
      <w:r>
        <w:rPr>
          <w:rFonts w:ascii="Arial" w:hAnsi="Arial" w:cs="Arial"/>
          <w:sz w:val="18"/>
          <w:szCs w:val="18"/>
        </w:rPr>
        <w:t>и содержанию в значительной степени соответствующий документу «</w:t>
      </w:r>
      <w:r w:rsidRPr="00F41889">
        <w:rPr>
          <w:rFonts w:ascii="Arial" w:hAnsi="Arial" w:cs="Arial"/>
          <w:sz w:val="18"/>
          <w:szCs w:val="18"/>
        </w:rPr>
        <w:t>Корпоративный договор с миноритарием в ООО</w:t>
      </w:r>
      <w:r>
        <w:rPr>
          <w:rFonts w:ascii="Arial" w:hAnsi="Arial" w:cs="Arial"/>
          <w:sz w:val="18"/>
          <w:szCs w:val="18"/>
        </w:rPr>
        <w:t xml:space="preserve">», доступному для скачивания по ссылке: </w:t>
      </w:r>
      <w:hyperlink r:id="rId1" w:history="1">
        <w:r w:rsidRPr="0030298B">
          <w:rPr>
            <w:rStyle w:val="af6"/>
            <w:rFonts w:ascii="Arial" w:hAnsi="Arial" w:cs="Arial"/>
            <w:sz w:val="18"/>
            <w:szCs w:val="18"/>
          </w:rPr>
          <w:t>https://www.buzko.legal/shop-ru</w:t>
        </w:r>
      </w:hyperlink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760F" w14:textId="77777777" w:rsidR="002132E6" w:rsidRDefault="002132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61ACD"/>
    <w:multiLevelType w:val="multilevel"/>
    <w:tmpl w:val="B4D4C94E"/>
    <w:lvl w:ilvl="0">
      <w:start w:val="1"/>
      <w:numFmt w:val="russianUpper"/>
      <w:lvlText w:val="(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3106C"/>
    <w:multiLevelType w:val="multilevel"/>
    <w:tmpl w:val="67884CB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04248C7"/>
    <w:multiLevelType w:val="hybridMultilevel"/>
    <w:tmpl w:val="AE0A3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14EA6"/>
    <w:multiLevelType w:val="multilevel"/>
    <w:tmpl w:val="0044A44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3903"/>
    <w:multiLevelType w:val="multilevel"/>
    <w:tmpl w:val="3DD45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russianLow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89B4712"/>
    <w:multiLevelType w:val="hybridMultilevel"/>
    <w:tmpl w:val="F266EF82"/>
    <w:lvl w:ilvl="0" w:tplc="6FA2FE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C528E"/>
    <w:multiLevelType w:val="multilevel"/>
    <w:tmpl w:val="9B36E126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D2CE6"/>
    <w:multiLevelType w:val="multilevel"/>
    <w:tmpl w:val="83864F5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31A0C"/>
    <w:multiLevelType w:val="hybridMultilevel"/>
    <w:tmpl w:val="0770A9EC"/>
    <w:lvl w:ilvl="0" w:tplc="2D94FAF6">
      <w:start w:val="1"/>
      <w:numFmt w:val="russianLower"/>
      <w:lvlText w:val="(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0495E1C"/>
    <w:multiLevelType w:val="multilevel"/>
    <w:tmpl w:val="2FDC812E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43642"/>
    <w:multiLevelType w:val="multilevel"/>
    <w:tmpl w:val="731C67B0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CE5"/>
    <w:rsid w:val="00005C1D"/>
    <w:rsid w:val="000164F5"/>
    <w:rsid w:val="00021E66"/>
    <w:rsid w:val="00027B19"/>
    <w:rsid w:val="00034D58"/>
    <w:rsid w:val="0003683C"/>
    <w:rsid w:val="00077821"/>
    <w:rsid w:val="0008117D"/>
    <w:rsid w:val="00086018"/>
    <w:rsid w:val="00091A58"/>
    <w:rsid w:val="000E01AE"/>
    <w:rsid w:val="000F4D66"/>
    <w:rsid w:val="001039EE"/>
    <w:rsid w:val="00104D56"/>
    <w:rsid w:val="00134B75"/>
    <w:rsid w:val="001479E2"/>
    <w:rsid w:val="0016360E"/>
    <w:rsid w:val="00170A2C"/>
    <w:rsid w:val="0018391C"/>
    <w:rsid w:val="00184A24"/>
    <w:rsid w:val="001B56F8"/>
    <w:rsid w:val="001B642A"/>
    <w:rsid w:val="001D3A60"/>
    <w:rsid w:val="001E22FF"/>
    <w:rsid w:val="002013BF"/>
    <w:rsid w:val="0021007D"/>
    <w:rsid w:val="002132E6"/>
    <w:rsid w:val="00233C4D"/>
    <w:rsid w:val="0024348A"/>
    <w:rsid w:val="00260DF5"/>
    <w:rsid w:val="00277039"/>
    <w:rsid w:val="00290EB2"/>
    <w:rsid w:val="002C702D"/>
    <w:rsid w:val="002C714F"/>
    <w:rsid w:val="002D65FD"/>
    <w:rsid w:val="002E5434"/>
    <w:rsid w:val="002F3324"/>
    <w:rsid w:val="003245C9"/>
    <w:rsid w:val="00352D74"/>
    <w:rsid w:val="00392842"/>
    <w:rsid w:val="00397022"/>
    <w:rsid w:val="003B55BB"/>
    <w:rsid w:val="003C2905"/>
    <w:rsid w:val="003C4EA2"/>
    <w:rsid w:val="003F763A"/>
    <w:rsid w:val="00414E88"/>
    <w:rsid w:val="0041659E"/>
    <w:rsid w:val="00420EA0"/>
    <w:rsid w:val="00450145"/>
    <w:rsid w:val="0047153C"/>
    <w:rsid w:val="00483C2D"/>
    <w:rsid w:val="00492FD1"/>
    <w:rsid w:val="004A0D5C"/>
    <w:rsid w:val="004B4083"/>
    <w:rsid w:val="004C14AF"/>
    <w:rsid w:val="004C62D2"/>
    <w:rsid w:val="00503848"/>
    <w:rsid w:val="00516F85"/>
    <w:rsid w:val="00517DA3"/>
    <w:rsid w:val="00535BD2"/>
    <w:rsid w:val="005579DC"/>
    <w:rsid w:val="0056343E"/>
    <w:rsid w:val="005655DA"/>
    <w:rsid w:val="0057005C"/>
    <w:rsid w:val="005717B5"/>
    <w:rsid w:val="005B1567"/>
    <w:rsid w:val="005C5BC9"/>
    <w:rsid w:val="005D408C"/>
    <w:rsid w:val="005D5B43"/>
    <w:rsid w:val="005D5FB0"/>
    <w:rsid w:val="005D76CD"/>
    <w:rsid w:val="005F099F"/>
    <w:rsid w:val="00623CFD"/>
    <w:rsid w:val="00643F9E"/>
    <w:rsid w:val="00646374"/>
    <w:rsid w:val="00646846"/>
    <w:rsid w:val="00663863"/>
    <w:rsid w:val="00663AD4"/>
    <w:rsid w:val="0068602A"/>
    <w:rsid w:val="0069056F"/>
    <w:rsid w:val="006A0CDE"/>
    <w:rsid w:val="006C2248"/>
    <w:rsid w:val="006D06E6"/>
    <w:rsid w:val="006E43BB"/>
    <w:rsid w:val="00700DF9"/>
    <w:rsid w:val="00723757"/>
    <w:rsid w:val="00723E0C"/>
    <w:rsid w:val="00753BA4"/>
    <w:rsid w:val="007729C7"/>
    <w:rsid w:val="00781E22"/>
    <w:rsid w:val="0078504B"/>
    <w:rsid w:val="007A21CE"/>
    <w:rsid w:val="007A64D6"/>
    <w:rsid w:val="007C29AF"/>
    <w:rsid w:val="007C3E9A"/>
    <w:rsid w:val="007D0E69"/>
    <w:rsid w:val="007E6C9E"/>
    <w:rsid w:val="00814938"/>
    <w:rsid w:val="00846F18"/>
    <w:rsid w:val="00852D06"/>
    <w:rsid w:val="00855945"/>
    <w:rsid w:val="00857AF6"/>
    <w:rsid w:val="00860F0F"/>
    <w:rsid w:val="00872A7F"/>
    <w:rsid w:val="008754BE"/>
    <w:rsid w:val="00886769"/>
    <w:rsid w:val="008B4F74"/>
    <w:rsid w:val="008C5EC3"/>
    <w:rsid w:val="008D010E"/>
    <w:rsid w:val="008D0F36"/>
    <w:rsid w:val="008E005A"/>
    <w:rsid w:val="00933C06"/>
    <w:rsid w:val="0094117E"/>
    <w:rsid w:val="00941AFA"/>
    <w:rsid w:val="00947B46"/>
    <w:rsid w:val="009536C4"/>
    <w:rsid w:val="0096466A"/>
    <w:rsid w:val="009745E6"/>
    <w:rsid w:val="00987569"/>
    <w:rsid w:val="009C69B5"/>
    <w:rsid w:val="00A02CE5"/>
    <w:rsid w:val="00A104BF"/>
    <w:rsid w:val="00A10562"/>
    <w:rsid w:val="00A20317"/>
    <w:rsid w:val="00A32E15"/>
    <w:rsid w:val="00A36ECD"/>
    <w:rsid w:val="00A41E53"/>
    <w:rsid w:val="00A718C1"/>
    <w:rsid w:val="00AA3001"/>
    <w:rsid w:val="00AA6B96"/>
    <w:rsid w:val="00AB60B0"/>
    <w:rsid w:val="00AC50F0"/>
    <w:rsid w:val="00AD1E30"/>
    <w:rsid w:val="00AE1D89"/>
    <w:rsid w:val="00AF3D86"/>
    <w:rsid w:val="00B02414"/>
    <w:rsid w:val="00B16C49"/>
    <w:rsid w:val="00B20C69"/>
    <w:rsid w:val="00B654AC"/>
    <w:rsid w:val="00B82CE8"/>
    <w:rsid w:val="00B97E0F"/>
    <w:rsid w:val="00BB062B"/>
    <w:rsid w:val="00BC29D7"/>
    <w:rsid w:val="00BE1EC5"/>
    <w:rsid w:val="00BE7FA6"/>
    <w:rsid w:val="00BF25C4"/>
    <w:rsid w:val="00C350BD"/>
    <w:rsid w:val="00C465AC"/>
    <w:rsid w:val="00C54656"/>
    <w:rsid w:val="00C83AFA"/>
    <w:rsid w:val="00CB46D7"/>
    <w:rsid w:val="00CB66AB"/>
    <w:rsid w:val="00CE2B9C"/>
    <w:rsid w:val="00CE394D"/>
    <w:rsid w:val="00CE4331"/>
    <w:rsid w:val="00CE55CE"/>
    <w:rsid w:val="00D10E30"/>
    <w:rsid w:val="00D136F2"/>
    <w:rsid w:val="00D2001C"/>
    <w:rsid w:val="00D23C2B"/>
    <w:rsid w:val="00D53D69"/>
    <w:rsid w:val="00D6434A"/>
    <w:rsid w:val="00D665B7"/>
    <w:rsid w:val="00D66D9F"/>
    <w:rsid w:val="00D8507A"/>
    <w:rsid w:val="00D9151E"/>
    <w:rsid w:val="00D97125"/>
    <w:rsid w:val="00DA7438"/>
    <w:rsid w:val="00DB4A52"/>
    <w:rsid w:val="00DC2B60"/>
    <w:rsid w:val="00DC5854"/>
    <w:rsid w:val="00DD6BD1"/>
    <w:rsid w:val="00DE6AC2"/>
    <w:rsid w:val="00E06382"/>
    <w:rsid w:val="00E146A8"/>
    <w:rsid w:val="00E2053F"/>
    <w:rsid w:val="00E3140B"/>
    <w:rsid w:val="00E474B7"/>
    <w:rsid w:val="00E55F13"/>
    <w:rsid w:val="00E56C2D"/>
    <w:rsid w:val="00E57AE0"/>
    <w:rsid w:val="00E652E9"/>
    <w:rsid w:val="00E976B1"/>
    <w:rsid w:val="00ED26DE"/>
    <w:rsid w:val="00EE3C40"/>
    <w:rsid w:val="00EE6056"/>
    <w:rsid w:val="00F12523"/>
    <w:rsid w:val="00F16117"/>
    <w:rsid w:val="00F41889"/>
    <w:rsid w:val="00F4212F"/>
    <w:rsid w:val="00F508E3"/>
    <w:rsid w:val="00F526AC"/>
    <w:rsid w:val="00F52AFA"/>
    <w:rsid w:val="00F54E34"/>
    <w:rsid w:val="00F72D9B"/>
    <w:rsid w:val="00F92278"/>
    <w:rsid w:val="00FB1657"/>
    <w:rsid w:val="00FB3C53"/>
    <w:rsid w:val="00FE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4A938"/>
  <w15:docId w15:val="{7C60133F-4257-43E6-8AE4-21999D63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60">
    <w:name w:val="6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50">
    <w:name w:val="5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0">
    <w:name w:val="4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a1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1B56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56F8"/>
  </w:style>
  <w:style w:type="paragraph" w:styleId="a7">
    <w:name w:val="footer"/>
    <w:basedOn w:val="a"/>
    <w:link w:val="a8"/>
    <w:uiPriority w:val="99"/>
    <w:unhideWhenUsed/>
    <w:rsid w:val="001B56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56F8"/>
  </w:style>
  <w:style w:type="table" w:styleId="a9">
    <w:name w:val="Table Grid"/>
    <w:basedOn w:val="a1"/>
    <w:rsid w:val="005D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9151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57A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57A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57A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7A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57AF6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857AF6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857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57AF6"/>
    <w:rPr>
      <w:rFonts w:ascii="Segoe UI" w:hAnsi="Segoe UI" w:cs="Segoe UI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rsid w:val="00F41889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41889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F41889"/>
    <w:rPr>
      <w:vertAlign w:val="superscript"/>
    </w:rPr>
  </w:style>
  <w:style w:type="character" w:styleId="af6">
    <w:name w:val="Hyperlink"/>
    <w:basedOn w:val="a0"/>
    <w:uiPriority w:val="99"/>
    <w:unhideWhenUsed/>
    <w:rsid w:val="00F41889"/>
    <w:rPr>
      <w:color w:val="0000FF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F41889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AB60B0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9">
    <w:name w:val="Основной текст Знак"/>
    <w:basedOn w:val="a0"/>
    <w:link w:val="af8"/>
    <w:rsid w:val="00AB60B0"/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4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.ru/legal/270319-dogovor-konvertiruemogo-zayma-posle-nedavnih-pravok-v-zakon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buzko.leg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uzko.legal/digital/yuridicheskie-dokumenty-dlya-startapa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zko.legal/shop-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D34A-2CCC-4E48-8B2E-D1E94AEA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11</Pages>
  <Words>3540</Words>
  <Characters>20178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Услуги в обмен на долю</dc:title>
  <dc:subject/>
  <dc:creator>Anna Usynina</dc:creator>
  <cp:keywords/>
  <dc:description/>
  <cp:lastModifiedBy>Vasily Agateev</cp:lastModifiedBy>
  <cp:revision>17</cp:revision>
  <cp:lastPrinted>2020-07-19T13:34:00Z</cp:lastPrinted>
  <dcterms:created xsi:type="dcterms:W3CDTF">2021-01-21T00:38:00Z</dcterms:created>
  <dcterms:modified xsi:type="dcterms:W3CDTF">2021-10-04T09:50:00Z</dcterms:modified>
  <cp:category/>
</cp:coreProperties>
</file>